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律师事务所培育申请材料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申请培育类别</w:t>
      </w:r>
      <w:r>
        <w:rPr>
          <w:rFonts w:hint="eastAsia" w:ascii="宋体" w:hAnsi="宋体" w:cs="宋体"/>
          <w:b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精品化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  <w:bookmarkStart w:id="15" w:name="_GoBack"/>
      <w:bookmarkEnd w:id="15"/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22379"/>
      <w:bookmarkStart w:id="2" w:name="_Toc30889"/>
      <w:bookmarkStart w:id="3" w:name="_Toc16122"/>
      <w:bookmarkStart w:id="4" w:name="_Toc14376"/>
      <w:bookmarkStart w:id="5" w:name="_Toc17181"/>
      <w:bookmarkStart w:id="6" w:name="_Toc30546"/>
      <w:bookmarkStart w:id="7" w:name="_Toc30761"/>
      <w:bookmarkStart w:id="8" w:name="_Toc8699"/>
      <w:bookmarkStart w:id="9" w:name="_Toc19228"/>
      <w:bookmarkStart w:id="10" w:name="_Toc24860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fldChar w:fldCharType="begin"/>
      </w:r>
      <w:r>
        <w:rPr>
          <w:rFonts w:hint="eastAsia" w:ascii="黑体" w:hAnsi="黑体" w:eastAsia="黑体" w:cs="黑体"/>
          <w:b/>
          <w:bCs/>
          <w:sz w:val="40"/>
          <w:szCs w:val="4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40"/>
          <w:szCs w:val="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"/>
        </w:rPr>
        <w:instrText xml:space="preserve"> HYPERLINK \l _Toc29985 </w:instrText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_Toc29985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"/>
        </w:rPr>
        <w:instrText xml:space="preserve"> HYPERLINK \l _Toc18185 </w:instrText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_Toc18185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4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40"/>
        </w:rPr>
        <w:instrText xml:space="preserve"> HYPERLINK \l _Toc10283 </w:instrText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三、当前律所有哪些精品化举措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_Toc10283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4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4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29985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11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38"/>
        <w:gridCol w:w="2197"/>
        <w:gridCol w:w="619"/>
        <w:gridCol w:w="471"/>
        <w:gridCol w:w="1097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12" w:name="_Toc18185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1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</w:pPr>
      <w:bookmarkStart w:id="13" w:name="_Toc10283"/>
      <w:bookmarkStart w:id="14" w:name="_Toc1029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三、当前律所有哪些精品化举措</w:t>
      </w:r>
      <w:bookmarkEnd w:id="13"/>
      <w:bookmarkEnd w:id="14"/>
    </w:p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（标题）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举措3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（标题）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（具体阐述举措内容并附相关证明图片）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sectPr>
      <w:footerReference r:id="rId5" w:type="default"/>
      <w:pgSz w:w="11906" w:h="16838"/>
      <w:pgMar w:top="1440" w:right="1650" w:bottom="1440" w:left="1650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BF67D6A"/>
    <w:rsid w:val="0DBFF8A4"/>
    <w:rsid w:val="0F9B909F"/>
    <w:rsid w:val="0FA94F43"/>
    <w:rsid w:val="0FFE3C2D"/>
    <w:rsid w:val="126D9995"/>
    <w:rsid w:val="15344C6C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3BF0D43"/>
    <w:rsid w:val="25717A91"/>
    <w:rsid w:val="2675E140"/>
    <w:rsid w:val="26901E43"/>
    <w:rsid w:val="271F938A"/>
    <w:rsid w:val="27E880B4"/>
    <w:rsid w:val="27F26299"/>
    <w:rsid w:val="27F55E0F"/>
    <w:rsid w:val="27FE33CE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7E9A1A0"/>
    <w:rsid w:val="483D7BCD"/>
    <w:rsid w:val="49BEA124"/>
    <w:rsid w:val="4C106C3D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AE277A"/>
    <w:rsid w:val="4FF395E6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AE234D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662D2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917E7F"/>
    <w:rsid w:val="61FF5178"/>
    <w:rsid w:val="62BD4574"/>
    <w:rsid w:val="63B63069"/>
    <w:rsid w:val="65655C60"/>
    <w:rsid w:val="6593F782"/>
    <w:rsid w:val="65BE74B1"/>
    <w:rsid w:val="65C8454A"/>
    <w:rsid w:val="65FD1E19"/>
    <w:rsid w:val="65FE0871"/>
    <w:rsid w:val="6609095A"/>
    <w:rsid w:val="66E7865B"/>
    <w:rsid w:val="66F7B9BD"/>
    <w:rsid w:val="66FF70F4"/>
    <w:rsid w:val="673F1F9D"/>
    <w:rsid w:val="67CD7F64"/>
    <w:rsid w:val="67E75822"/>
    <w:rsid w:val="67FBCA81"/>
    <w:rsid w:val="67FEC540"/>
    <w:rsid w:val="67FF8842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A8598B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627</Words>
  <Characters>654</Characters>
  <Lines>46</Lines>
  <Paragraphs>83</Paragraphs>
  <TotalTime>0</TotalTime>
  <ScaleCrop>false</ScaleCrop>
  <LinksUpToDate>false</LinksUpToDate>
  <CharactersWithSpaces>721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2023-08-07T01:30:59Z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