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律师事务所认定申请材料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申请认定类别：特色化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Toc12932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4" w:name="_GoBack"/>
      <w:bookmarkEnd w:id="14"/>
    </w:p>
    <w:p>
      <w:pPr>
        <w:jc w:val="center"/>
        <w:outlineLvl w:val="0"/>
        <w:rPr>
          <w:b/>
          <w:bCs/>
          <w:sz w:val="32"/>
          <w:szCs w:val="40"/>
        </w:rPr>
      </w:pPr>
      <w:bookmarkStart w:id="1" w:name="_Toc30761"/>
      <w:bookmarkStart w:id="2" w:name="_Toc1460"/>
      <w:bookmarkStart w:id="3" w:name="_Toc8699"/>
      <w:bookmarkStart w:id="4" w:name="_Toc21213"/>
      <w:bookmarkStart w:id="5" w:name="_Toc22379"/>
      <w:bookmarkStart w:id="6" w:name="_Toc10136"/>
      <w:bookmarkStart w:id="7" w:name="_Toc30546"/>
      <w:bookmarkStart w:id="8" w:name="_Toc30889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340"/>
          <w:szCs w:val="340"/>
        </w:rPr>
        <w:fldChar w:fldCharType="begin"/>
      </w:r>
      <w:r>
        <w:rPr>
          <w:rFonts w:hint="eastAsia" w:ascii="黑体" w:hAnsi="黑体" w:eastAsia="黑体" w:cs="黑体"/>
          <w:b/>
          <w:bCs/>
          <w:sz w:val="340"/>
          <w:szCs w:val="34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340"/>
          <w:szCs w:val="3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340"/>
        </w:rPr>
        <w:instrText xml:space="preserve"> HYPERLINK \l _Toc28251 </w:instrText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_Toc28251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3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340"/>
        </w:rPr>
        <w:instrText xml:space="preserve"> HYPERLINK \l _Toc623 </w:instrText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_Toc623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3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340"/>
        </w:rPr>
        <w:instrText xml:space="preserve"> HYPERLINK \l _Toc32714 </w:instrText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三、特色化律师事务所申请表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_Toc32714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3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340"/>
        </w:rPr>
        <w:instrText xml:space="preserve"> HYPERLINK \l _Toc17118 </w:instrText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四、标志性特色领域证明材料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_Toc17118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4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3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340"/>
        </w:rPr>
        <w:instrText xml:space="preserve"> HYPERLINK \l _Toc20583 </w:instrText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五、其他可展现特色化的成果/成效的证明材料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_Toc20583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5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34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34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9" w:name="_Toc28251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9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09"/>
        <w:gridCol w:w="2123"/>
        <w:gridCol w:w="598"/>
        <w:gridCol w:w="455"/>
        <w:gridCol w:w="1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10" w:name="_Toc623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1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1" w:name="_Toc32714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、特色化律师事务所申请表</w:t>
      </w:r>
      <w:bookmarkEnd w:id="11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09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在以下哪些领域具有标志性特色</w:t>
            </w:r>
          </w:p>
        </w:tc>
        <w:tc>
          <w:tcPr>
            <w:tcW w:w="4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党建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合规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公益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文化     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品牌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历史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在特色领域的具体表现为：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其他可展现特色化的成果或成效</w:t>
            </w:r>
          </w:p>
        </w:tc>
        <w:tc>
          <w:tcPr>
            <w:tcW w:w="375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2" w:name="_Toc17118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四、标志性特色领域证明材料</w:t>
      </w:r>
      <w:bookmarkEnd w:id="12"/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如，党建、合规、公益、运营、文化、品牌、历史等领域。）</w:t>
      </w:r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（请插入证明图片或文字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3" w:name="_Toc20583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、其他可展现特色化的成果</w:t>
      </w: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/成效的证明材料</w:t>
      </w:r>
      <w:bookmarkEnd w:id="13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BF67D6A"/>
    <w:rsid w:val="0DBFF8A4"/>
    <w:rsid w:val="0F9B909F"/>
    <w:rsid w:val="0FA94F43"/>
    <w:rsid w:val="0FFE3C2D"/>
    <w:rsid w:val="10146D15"/>
    <w:rsid w:val="126D9995"/>
    <w:rsid w:val="1797A8E8"/>
    <w:rsid w:val="17AFCD58"/>
    <w:rsid w:val="17BF9709"/>
    <w:rsid w:val="17DFB82A"/>
    <w:rsid w:val="17F917F2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3BF0D43"/>
    <w:rsid w:val="25717A91"/>
    <w:rsid w:val="2675E140"/>
    <w:rsid w:val="271F938A"/>
    <w:rsid w:val="27E880B4"/>
    <w:rsid w:val="27F26299"/>
    <w:rsid w:val="27F55E0F"/>
    <w:rsid w:val="27FE33CE"/>
    <w:rsid w:val="2AADC391"/>
    <w:rsid w:val="2ADF707C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176CA7"/>
    <w:rsid w:val="32FF0317"/>
    <w:rsid w:val="337AE2D6"/>
    <w:rsid w:val="33DEF139"/>
    <w:rsid w:val="33F915CE"/>
    <w:rsid w:val="33F9C19C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2F6DC3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0A3B"/>
    <w:rsid w:val="3FFD2741"/>
    <w:rsid w:val="3FFDCBCA"/>
    <w:rsid w:val="3FFEAECC"/>
    <w:rsid w:val="3FFF03B9"/>
    <w:rsid w:val="40430A41"/>
    <w:rsid w:val="419B050B"/>
    <w:rsid w:val="47C2322B"/>
    <w:rsid w:val="47E9A1A0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628E"/>
    <w:rsid w:val="522BBFAA"/>
    <w:rsid w:val="53400BDF"/>
    <w:rsid w:val="53401509"/>
    <w:rsid w:val="536F6462"/>
    <w:rsid w:val="53BD2119"/>
    <w:rsid w:val="5567BD2F"/>
    <w:rsid w:val="557D857A"/>
    <w:rsid w:val="557F84E0"/>
    <w:rsid w:val="55E7D38E"/>
    <w:rsid w:val="55F80356"/>
    <w:rsid w:val="55FB4844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A613E3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92A7449"/>
    <w:rsid w:val="6B0F7019"/>
    <w:rsid w:val="6B7DB2B6"/>
    <w:rsid w:val="6B9A6C0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021F03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BD0DB8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0B7D77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602</Words>
  <Characters>622</Characters>
  <Lines>46</Lines>
  <Paragraphs>83</Paragraphs>
  <TotalTime>0</TotalTime>
  <ScaleCrop>false</ScaleCrop>
  <LinksUpToDate>false</LinksUpToDate>
  <CharactersWithSpaces>811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2023-08-07T01:33:15Z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