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b w:val="0"/>
        </w:rPr>
      </w:pPr>
    </w:p>
    <w:p>
      <w:pPr>
        <w:pStyle w:val="3"/>
        <w:jc w:val="center"/>
        <w:rPr>
          <w:rFonts w:hint="default"/>
          <w:b w:val="0"/>
        </w:rPr>
      </w:pPr>
    </w:p>
    <w:p>
      <w:pPr>
        <w:pStyle w:val="3"/>
        <w:jc w:val="center"/>
        <w:rPr>
          <w:rFonts w:hint="default"/>
          <w:b w:val="0"/>
          <w:sz w:val="32"/>
          <w:szCs w:val="32"/>
          <w:u w:val="single"/>
        </w:rPr>
      </w:pPr>
      <w:r>
        <w:rPr>
          <w:rFonts w:hint="default"/>
          <w:b w:val="0"/>
          <w:sz w:val="32"/>
          <w:szCs w:val="32"/>
        </w:rPr>
        <w:t>深圳市律师协会</w:t>
      </w:r>
    </w:p>
    <w:p>
      <w:pPr>
        <w:pStyle w:val="3"/>
        <w:jc w:val="center"/>
        <w:rPr>
          <w:rFonts w:hint="default"/>
          <w:b w:val="0"/>
          <w:sz w:val="32"/>
          <w:szCs w:val="32"/>
          <w:u w:val="single"/>
        </w:rPr>
      </w:pPr>
      <w:r>
        <w:rPr>
          <w:b w:val="0"/>
          <w:sz w:val="32"/>
          <w:szCs w:val="32"/>
          <w:u w:val="single"/>
        </w:rPr>
        <w:t>秘书处薪酬绩效</w:t>
      </w:r>
      <w:r>
        <w:rPr>
          <w:b w:val="0"/>
          <w:sz w:val="32"/>
          <w:szCs w:val="32"/>
          <w:u w:val="single"/>
          <w:lang w:eastAsia="zh-Hans"/>
        </w:rPr>
        <w:t>改革</w:t>
      </w:r>
      <w:r>
        <w:rPr>
          <w:b w:val="0"/>
          <w:sz w:val="32"/>
          <w:szCs w:val="32"/>
          <w:u w:val="single"/>
        </w:rPr>
        <w:t xml:space="preserve">调研服务采购项目  </w:t>
      </w:r>
    </w:p>
    <w:p>
      <w:pPr>
        <w:rPr>
          <w:rFonts w:ascii="宋体" w:hAnsi="宋体" w:cs="宋体"/>
          <w:b/>
          <w:sz w:val="32"/>
          <w:szCs w:val="32"/>
        </w:rPr>
      </w:pPr>
    </w:p>
    <w:p>
      <w:pPr>
        <w:pStyle w:val="5"/>
        <w:rPr>
          <w:rFonts w:ascii="宋体" w:hAnsi="宋体" w:cs="宋体"/>
          <w:sz w:val="32"/>
          <w:szCs w:val="32"/>
        </w:rPr>
      </w:pPr>
    </w:p>
    <w:p>
      <w:pPr>
        <w:jc w:val="center"/>
        <w:rPr>
          <w:rFonts w:ascii="宋体" w:hAnsi="宋体" w:cs="宋体"/>
          <w:b/>
          <w:sz w:val="32"/>
          <w:szCs w:val="32"/>
        </w:rPr>
      </w:pPr>
      <w:r>
        <w:rPr>
          <w:rFonts w:hint="eastAsia" w:ascii="宋体" w:hAnsi="宋体" w:cs="宋体"/>
          <w:b/>
          <w:sz w:val="32"/>
          <w:szCs w:val="32"/>
        </w:rPr>
        <w:t>招 标 文 件</w:t>
      </w:r>
    </w:p>
    <w:p>
      <w:pPr>
        <w:rPr>
          <w:sz w:val="32"/>
          <w:szCs w:val="32"/>
        </w:rPr>
      </w:pPr>
    </w:p>
    <w:p>
      <w:pPr>
        <w:jc w:val="center"/>
        <w:rPr>
          <w:b/>
          <w:bCs/>
          <w:sz w:val="32"/>
          <w:szCs w:val="32"/>
        </w:rPr>
      </w:pPr>
      <w:r>
        <w:rPr>
          <w:rFonts w:hint="eastAsia"/>
          <w:b/>
          <w:bCs/>
          <w:sz w:val="32"/>
          <w:szCs w:val="32"/>
        </w:rPr>
        <w:t>项目编号：</w:t>
      </w:r>
      <w:r>
        <w:rPr>
          <w:rFonts w:hint="eastAsia"/>
          <w:b/>
          <w:bCs/>
          <w:color w:val="FF0000"/>
          <w:sz w:val="32"/>
          <w:szCs w:val="32"/>
        </w:rPr>
        <w:t>【</w:t>
      </w:r>
      <w:r>
        <w:rPr>
          <w:b/>
          <w:bCs/>
          <w:color w:val="FF0000"/>
          <w:sz w:val="32"/>
          <w:szCs w:val="32"/>
        </w:rPr>
        <w:t>2022SLX003</w:t>
      </w:r>
      <w:r>
        <w:rPr>
          <w:rFonts w:hint="eastAsia"/>
          <w:b/>
          <w:bCs/>
          <w:color w:val="FF0000"/>
          <w:sz w:val="32"/>
          <w:szCs w:val="32"/>
        </w:rPr>
        <w:t>】</w:t>
      </w:r>
      <w:r>
        <w:rPr>
          <w:rFonts w:hint="eastAsia"/>
          <w:b/>
          <w:bCs/>
          <w:sz w:val="32"/>
          <w:szCs w:val="32"/>
        </w:rPr>
        <w:t>号</w:t>
      </w:r>
    </w:p>
    <w:p>
      <w:pPr>
        <w:rPr>
          <w:sz w:val="32"/>
          <w:szCs w:val="32"/>
        </w:rPr>
      </w:pPr>
    </w:p>
    <w:p>
      <w:pPr>
        <w:rPr>
          <w:sz w:val="28"/>
          <w:szCs w:val="28"/>
        </w:rPr>
      </w:pPr>
    </w:p>
    <w:p>
      <w:pPr>
        <w:rPr>
          <w:sz w:val="28"/>
          <w:szCs w:val="28"/>
        </w:rPr>
      </w:pPr>
    </w:p>
    <w:p>
      <w:pPr>
        <w:rPr>
          <w:sz w:val="28"/>
          <w:szCs w:val="28"/>
        </w:rPr>
      </w:pPr>
    </w:p>
    <w:p>
      <w:pPr>
        <w:pStyle w:val="2"/>
      </w:pPr>
    </w:p>
    <w:p>
      <w:pPr>
        <w:rPr>
          <w:sz w:val="28"/>
          <w:szCs w:val="28"/>
        </w:rPr>
      </w:pPr>
    </w:p>
    <w:p>
      <w:pPr>
        <w:rPr>
          <w:sz w:val="28"/>
          <w:szCs w:val="28"/>
        </w:rPr>
      </w:pPr>
    </w:p>
    <w:p>
      <w:pPr>
        <w:jc w:val="center"/>
        <w:rPr>
          <w:sz w:val="28"/>
          <w:szCs w:val="28"/>
        </w:rPr>
      </w:pPr>
    </w:p>
    <w:p>
      <w:pPr>
        <w:jc w:val="center"/>
        <w:rPr>
          <w:sz w:val="28"/>
          <w:szCs w:val="28"/>
        </w:rPr>
      </w:pPr>
      <w:r>
        <w:rPr>
          <w:rFonts w:hint="eastAsia"/>
          <w:sz w:val="28"/>
          <w:szCs w:val="28"/>
        </w:rPr>
        <w:t>招标人：深圳市律师协会</w:t>
      </w:r>
    </w:p>
    <w:p>
      <w:pPr>
        <w:jc w:val="center"/>
        <w:rPr>
          <w:sz w:val="28"/>
          <w:szCs w:val="28"/>
        </w:rPr>
      </w:pPr>
      <w:r>
        <w:rPr>
          <w:rFonts w:hint="eastAsia"/>
          <w:sz w:val="28"/>
          <w:szCs w:val="28"/>
        </w:rPr>
        <w:t>2</w:t>
      </w:r>
      <w:r>
        <w:rPr>
          <w:sz w:val="28"/>
          <w:szCs w:val="28"/>
        </w:rPr>
        <w:t>022</w:t>
      </w:r>
      <w:r>
        <w:rPr>
          <w:rFonts w:hint="eastAsia"/>
          <w:sz w:val="28"/>
          <w:szCs w:val="28"/>
        </w:rPr>
        <w:t>年9月</w:t>
      </w:r>
      <w:r>
        <w:rPr>
          <w:sz w:val="28"/>
          <w:szCs w:val="28"/>
        </w:rPr>
        <w:t>15</w:t>
      </w:r>
      <w:r>
        <w:rPr>
          <w:rFonts w:hint="eastAsia"/>
          <w:sz w:val="28"/>
          <w:szCs w:val="28"/>
        </w:rPr>
        <w:t>日</w:t>
      </w:r>
    </w:p>
    <w:p>
      <w:pPr>
        <w:rPr>
          <w:sz w:val="24"/>
        </w:rPr>
      </w:pPr>
    </w:p>
    <w:p>
      <w:pPr>
        <w:spacing w:line="360" w:lineRule="auto"/>
        <w:jc w:val="center"/>
        <w:rPr>
          <w:b/>
          <w:bCs/>
          <w:sz w:val="24"/>
        </w:rPr>
      </w:pPr>
      <w:r>
        <w:rPr>
          <w:rFonts w:hint="eastAsia"/>
          <w:b/>
          <w:bCs/>
          <w:sz w:val="24"/>
        </w:rPr>
        <w:t>一、投标人须知</w:t>
      </w:r>
    </w:p>
    <w:p>
      <w:pPr>
        <w:spacing w:line="360" w:lineRule="auto"/>
        <w:ind w:firstLine="480" w:firstLineChars="200"/>
        <w:rPr>
          <w:sz w:val="24"/>
        </w:rPr>
      </w:pPr>
      <w:r>
        <w:rPr>
          <w:rFonts w:hint="eastAsia"/>
          <w:sz w:val="24"/>
        </w:rPr>
        <w:t>（一）投标人资质要求</w:t>
      </w:r>
    </w:p>
    <w:p>
      <w:pPr>
        <w:numPr>
          <w:ilvl w:val="0"/>
          <w:numId w:val="1"/>
        </w:numPr>
        <w:tabs>
          <w:tab w:val="left" w:pos="1050"/>
        </w:tabs>
        <w:spacing w:line="360" w:lineRule="auto"/>
        <w:ind w:left="0" w:firstLine="640"/>
        <w:rPr>
          <w:sz w:val="24"/>
        </w:rPr>
      </w:pPr>
      <w:r>
        <w:rPr>
          <w:rFonts w:hint="eastAsia"/>
          <w:sz w:val="24"/>
        </w:rPr>
        <w:t>凡有能力按照本招标文件规定的要求交付货物和服务的投标单位均为合格的投标人。</w:t>
      </w:r>
    </w:p>
    <w:p>
      <w:pPr>
        <w:numPr>
          <w:ilvl w:val="0"/>
          <w:numId w:val="1"/>
        </w:numPr>
        <w:tabs>
          <w:tab w:val="left" w:pos="1050"/>
        </w:tabs>
        <w:spacing w:line="360" w:lineRule="auto"/>
        <w:ind w:left="0" w:firstLine="640"/>
        <w:rPr>
          <w:rFonts w:ascii="微软雅黑" w:hAnsi="微软雅黑" w:eastAsia="微软雅黑" w:cs="微软雅黑"/>
          <w:sz w:val="24"/>
        </w:rPr>
      </w:pPr>
      <w:r>
        <w:rPr>
          <w:rFonts w:hint="eastAsia"/>
          <w:sz w:val="24"/>
        </w:rPr>
        <w:t>单位负责人为同一人或者存在直接控股、管理关系的不同投标人，不得参加同一合同项下的采购活动。除单一来源采购项目外，为项目提供整体设计、规范编制或者项目管理、监理、检测等服务的投标人，不得再参加该采购项目的其他采购活动。</w:t>
      </w:r>
    </w:p>
    <w:p>
      <w:pPr>
        <w:numPr>
          <w:ilvl w:val="0"/>
          <w:numId w:val="1"/>
        </w:numPr>
        <w:tabs>
          <w:tab w:val="left" w:pos="1050"/>
        </w:tabs>
        <w:spacing w:line="360" w:lineRule="auto"/>
        <w:ind w:left="0" w:firstLine="640"/>
        <w:rPr>
          <w:sz w:val="24"/>
        </w:rPr>
      </w:pPr>
      <w:r>
        <w:rPr>
          <w:rFonts w:hint="eastAsia"/>
          <w:sz w:val="24"/>
        </w:rPr>
        <w:t xml:space="preserve">投标人在本项目招标公告前一年内未被列入失信被执行人、重大税收违法案件当事人名单、市场监督管理严重违法失信名单记录名单（以“中国执行信息公开网”网站 (http://zxgk.court.gov.cn) </w:t>
      </w:r>
      <w:bookmarkStart w:id="0" w:name="_bookmark20"/>
      <w:bookmarkEnd w:id="0"/>
      <w:bookmarkStart w:id="1" w:name="_bookmark62"/>
      <w:bookmarkEnd w:id="1"/>
      <w:bookmarkStart w:id="2" w:name="_bookmark66"/>
      <w:bookmarkEnd w:id="2"/>
      <w:bookmarkStart w:id="3" w:name="_bookmark64"/>
      <w:bookmarkEnd w:id="3"/>
      <w:r>
        <w:rPr>
          <w:rFonts w:hint="eastAsia"/>
          <w:sz w:val="24"/>
        </w:rPr>
        <w:t>和“信用中国 ”网站(www.creditchina.gov.cn) 上公布的记录为准。</w:t>
      </w:r>
    </w:p>
    <w:p>
      <w:pPr>
        <w:spacing w:line="360" w:lineRule="auto"/>
        <w:ind w:firstLine="480" w:firstLineChars="200"/>
        <w:rPr>
          <w:sz w:val="24"/>
        </w:rPr>
      </w:pPr>
      <w:r>
        <w:rPr>
          <w:rFonts w:hint="eastAsia"/>
          <w:sz w:val="24"/>
        </w:rPr>
        <w:t>（二）联合体投标</w:t>
      </w:r>
    </w:p>
    <w:p>
      <w:pPr>
        <w:spacing w:line="360" w:lineRule="auto"/>
        <w:ind w:firstLine="480" w:firstLineChars="200"/>
        <w:rPr>
          <w:sz w:val="24"/>
        </w:rPr>
      </w:pPr>
      <w:r>
        <w:rPr>
          <w:rFonts w:hint="eastAsia"/>
          <w:sz w:val="24"/>
        </w:rPr>
        <w:t>本项目不接受联合体投标。</w:t>
      </w:r>
    </w:p>
    <w:p>
      <w:pPr>
        <w:spacing w:line="360" w:lineRule="auto"/>
        <w:ind w:firstLine="480" w:firstLineChars="200"/>
        <w:rPr>
          <w:sz w:val="24"/>
        </w:rPr>
      </w:pPr>
      <w:r>
        <w:rPr>
          <w:rFonts w:hint="eastAsia"/>
          <w:sz w:val="24"/>
        </w:rPr>
        <w:t>（三）投标人的诚信义务</w:t>
      </w:r>
    </w:p>
    <w:p>
      <w:pPr>
        <w:spacing w:line="360" w:lineRule="auto"/>
        <w:ind w:firstLine="480" w:firstLineChars="200"/>
      </w:pPr>
      <w:r>
        <w:rPr>
          <w:rFonts w:hint="eastAsia"/>
          <w:sz w:val="24"/>
        </w:rPr>
        <w:t>投标人不得和其他投标人以任何方式串通投标，应保证认真核实了投标文件的全部资料，所有资料均为真实资料，并对投标文件中全部投标资料的真实性负责。投标人如被证实投标文件存在虚假资料、串通投标或者存在其他违反《招标投标法》等相关法律法规规定的，除投标无效外，还将承担一切法律责任。</w:t>
      </w:r>
    </w:p>
    <w:p>
      <w:pPr>
        <w:spacing w:line="360" w:lineRule="auto"/>
        <w:ind w:firstLine="480" w:firstLineChars="200"/>
        <w:rPr>
          <w:sz w:val="24"/>
        </w:rPr>
      </w:pPr>
      <w:r>
        <w:rPr>
          <w:rFonts w:hint="eastAsia"/>
          <w:sz w:val="24"/>
        </w:rPr>
        <w:t>（四）投标费用和解释权</w:t>
      </w:r>
    </w:p>
    <w:p>
      <w:pPr>
        <w:numPr>
          <w:ilvl w:val="0"/>
          <w:numId w:val="2"/>
        </w:numPr>
        <w:tabs>
          <w:tab w:val="left" w:pos="1050"/>
        </w:tabs>
        <w:spacing w:line="360" w:lineRule="auto"/>
        <w:ind w:left="0" w:firstLine="640"/>
        <w:rPr>
          <w:sz w:val="24"/>
        </w:rPr>
      </w:pPr>
      <w:r>
        <w:rPr>
          <w:rFonts w:hint="eastAsia"/>
          <w:sz w:val="24"/>
        </w:rPr>
        <w:t>无论招标投标过程中的做法和结果如何，投标人均自行承担所有与参加投标有关的全部费用。</w:t>
      </w:r>
    </w:p>
    <w:p>
      <w:pPr>
        <w:numPr>
          <w:ilvl w:val="0"/>
          <w:numId w:val="2"/>
        </w:numPr>
        <w:tabs>
          <w:tab w:val="left" w:pos="1050"/>
        </w:tabs>
        <w:spacing w:line="360" w:lineRule="auto"/>
        <w:ind w:left="0" w:firstLine="640"/>
        <w:rPr>
          <w:sz w:val="24"/>
        </w:rPr>
      </w:pPr>
      <w:r>
        <w:rPr>
          <w:rFonts w:hint="eastAsia"/>
          <w:sz w:val="24"/>
        </w:rPr>
        <w:t>本招标文件由深圳市律师协会负责解释。</w:t>
      </w:r>
    </w:p>
    <w:p>
      <w:pPr>
        <w:rPr>
          <w:b/>
          <w:bCs/>
          <w:sz w:val="24"/>
        </w:rPr>
      </w:pPr>
      <w:r>
        <w:rPr>
          <w:sz w:val="24"/>
          <w:szCs w:val="24"/>
        </w:rPr>
        <w:br w:type="page"/>
      </w:r>
    </w:p>
    <w:p>
      <w:pPr>
        <w:spacing w:line="360" w:lineRule="auto"/>
        <w:jc w:val="center"/>
        <w:rPr>
          <w:b/>
          <w:bCs/>
          <w:sz w:val="24"/>
        </w:rPr>
      </w:pPr>
      <w:r>
        <w:rPr>
          <w:rFonts w:hint="eastAsia"/>
          <w:b/>
          <w:bCs/>
          <w:sz w:val="24"/>
        </w:rPr>
        <w:t>二、招标项目的基本情况和采购需求</w:t>
      </w:r>
    </w:p>
    <w:p>
      <w:pPr>
        <w:spacing w:line="360" w:lineRule="auto"/>
        <w:ind w:firstLine="480"/>
        <w:rPr>
          <w:sz w:val="24"/>
        </w:rPr>
      </w:pPr>
      <w:r>
        <w:rPr>
          <w:rFonts w:hint="eastAsia"/>
          <w:sz w:val="24"/>
        </w:rPr>
        <w:t>（一）基本情况</w:t>
      </w:r>
    </w:p>
    <w:p>
      <w:pPr>
        <w:spacing w:line="360" w:lineRule="auto"/>
        <w:ind w:firstLine="480"/>
        <w:rPr>
          <w:sz w:val="24"/>
          <w:lang w:eastAsia="zh-Hans"/>
        </w:rPr>
      </w:pPr>
      <w:r>
        <w:rPr>
          <w:rFonts w:hint="eastAsia"/>
          <w:sz w:val="24"/>
        </w:rPr>
        <w:t>为科学优化秘书处的组织效能，让秘书处员工施展所长，并为之提供有效的管理支持、资源扶持及相应的薪酬激励机制，实现协会秘书处合规、高效运转，为全体会员提供高品质服务，从而保障行业高质量发展，故聘请第三方对现有秘书处薪酬绩效制度进行调研，形成调研报告</w:t>
      </w:r>
      <w:r>
        <w:rPr>
          <w:rFonts w:hint="eastAsia"/>
          <w:sz w:val="24"/>
          <w:lang w:eastAsia="zh-Hans"/>
        </w:rPr>
        <w:t>。</w:t>
      </w:r>
    </w:p>
    <w:p>
      <w:pPr>
        <w:numPr>
          <w:ilvl w:val="0"/>
          <w:numId w:val="3"/>
        </w:numPr>
        <w:spacing w:line="360" w:lineRule="auto"/>
        <w:ind w:firstLine="480"/>
      </w:pPr>
      <w:r>
        <w:rPr>
          <w:rFonts w:hint="eastAsia"/>
          <w:sz w:val="24"/>
        </w:rPr>
        <w:t>采购需求</w:t>
      </w:r>
    </w:p>
    <w:p>
      <w:pPr>
        <w:spacing w:line="360" w:lineRule="auto"/>
        <w:ind w:firstLine="480" w:firstLineChars="200"/>
        <w:rPr>
          <w:sz w:val="24"/>
        </w:rPr>
      </w:pPr>
      <w:r>
        <w:rPr>
          <w:rFonts w:hint="eastAsia"/>
          <w:sz w:val="24"/>
        </w:rPr>
        <w:t>中标人应对现有秘书处薪酬制度及其执行情况（包括但不限于职能定位、职等划分、人员结构、绩效考核、工资和福利安排等）进行全面调研、梳理，形成书面调研报告，报告应包括现有基本情况、存在的问题、改革方案建议（包括具体改革措施及所需条件、利弊分析等）等。</w:t>
      </w:r>
    </w:p>
    <w:p>
      <w:pPr>
        <w:spacing w:line="360" w:lineRule="auto"/>
        <w:jc w:val="center"/>
        <w:rPr>
          <w:b/>
          <w:bCs/>
          <w:sz w:val="24"/>
        </w:rPr>
      </w:pPr>
    </w:p>
    <w:p>
      <w:pPr>
        <w:spacing w:line="360" w:lineRule="auto"/>
        <w:jc w:val="center"/>
        <w:rPr>
          <w:b/>
          <w:bCs/>
          <w:sz w:val="24"/>
        </w:rPr>
      </w:pPr>
      <w:r>
        <w:rPr>
          <w:rFonts w:hint="eastAsia"/>
          <w:b/>
          <w:bCs/>
          <w:sz w:val="24"/>
        </w:rPr>
        <w:t>三、投标价格及其计算方式</w:t>
      </w:r>
    </w:p>
    <w:p>
      <w:pPr>
        <w:spacing w:line="360" w:lineRule="auto"/>
        <w:ind w:firstLine="480" w:firstLineChars="200"/>
        <w:rPr>
          <w:sz w:val="24"/>
        </w:rPr>
      </w:pPr>
      <w:r>
        <w:rPr>
          <w:rFonts w:hint="eastAsia"/>
          <w:sz w:val="24"/>
        </w:rPr>
        <w:t>（一）投标价格</w:t>
      </w:r>
    </w:p>
    <w:p>
      <w:pPr>
        <w:numPr>
          <w:ilvl w:val="0"/>
          <w:numId w:val="4"/>
        </w:numPr>
        <w:tabs>
          <w:tab w:val="left" w:pos="1050"/>
        </w:tabs>
        <w:spacing w:line="360" w:lineRule="auto"/>
        <w:ind w:left="0" w:firstLine="640"/>
        <w:rPr>
          <w:sz w:val="24"/>
        </w:rPr>
      </w:pPr>
      <w:r>
        <w:rPr>
          <w:rFonts w:hint="eastAsia"/>
          <w:sz w:val="24"/>
        </w:rPr>
        <w:t>本项目的预算总额为：</w:t>
      </w:r>
      <w:r>
        <w:rPr>
          <w:rFonts w:hint="eastAsia"/>
          <w:sz w:val="24"/>
          <w:u w:val="single"/>
        </w:rPr>
        <w:t xml:space="preserve"> </w:t>
      </w:r>
      <w:r>
        <w:rPr>
          <w:rFonts w:hint="eastAsia" w:ascii="宋体" w:hAnsi="宋体" w:eastAsia="宋体" w:cs="宋体"/>
          <w:bCs/>
          <w:kern w:val="0"/>
          <w:sz w:val="24"/>
          <w:u w:val="single"/>
          <w:shd w:val="clear" w:color="auto" w:fill="FFFFFF"/>
          <w:lang w:bidi="ar"/>
        </w:rPr>
        <w:t>人民币壹</w:t>
      </w:r>
      <w:r>
        <w:rPr>
          <w:rFonts w:hint="eastAsia" w:cs="宋体"/>
          <w:bCs/>
          <w:kern w:val="0"/>
          <w:sz w:val="24"/>
          <w:u w:val="single"/>
          <w:shd w:val="clear" w:color="auto" w:fill="FFFFFF"/>
          <w:lang w:bidi="ar"/>
        </w:rPr>
        <w:t>拾</w:t>
      </w:r>
      <w:r>
        <w:rPr>
          <w:rFonts w:hint="eastAsia" w:ascii="宋体" w:hAnsi="宋体" w:eastAsia="宋体" w:cs="宋体"/>
          <w:bCs/>
          <w:kern w:val="0"/>
          <w:sz w:val="24"/>
          <w:u w:val="single"/>
          <w:shd w:val="clear" w:color="auto" w:fill="FFFFFF"/>
          <w:lang w:bidi="ar"/>
        </w:rPr>
        <w:t>万</w:t>
      </w:r>
      <w:r>
        <w:rPr>
          <w:rFonts w:hint="eastAsia" w:cs="宋体"/>
          <w:bCs/>
          <w:kern w:val="0"/>
          <w:sz w:val="24"/>
          <w:u w:val="single"/>
          <w:shd w:val="clear" w:color="auto" w:fill="FFFFFF"/>
          <w:lang w:bidi="ar"/>
        </w:rPr>
        <w:t>元</w:t>
      </w:r>
      <w:r>
        <w:rPr>
          <w:rFonts w:hint="eastAsia"/>
          <w:sz w:val="24"/>
          <w:u w:val="single"/>
        </w:rPr>
        <w:t>。</w:t>
      </w:r>
      <w:r>
        <w:rPr>
          <w:rFonts w:hint="eastAsia"/>
          <w:sz w:val="24"/>
        </w:rPr>
        <w:t>（本价款包括该费用包含但不限于乙方所承担的税费、工作人员和专家报酬、场地使用费、印刷费、耗材费、差旅费以及合理的利润等）</w:t>
      </w:r>
    </w:p>
    <w:p>
      <w:pPr>
        <w:numPr>
          <w:ilvl w:val="0"/>
          <w:numId w:val="4"/>
        </w:numPr>
        <w:tabs>
          <w:tab w:val="left" w:pos="1050"/>
        </w:tabs>
        <w:spacing w:line="360" w:lineRule="auto"/>
        <w:ind w:left="0" w:firstLine="640"/>
        <w:rPr>
          <w:sz w:val="24"/>
        </w:rPr>
      </w:pPr>
      <w:r>
        <w:rPr>
          <w:rFonts w:hint="eastAsia"/>
          <w:sz w:val="24"/>
        </w:rPr>
        <w:t>付款条件：合同签订后且提供合格发票后三个工作日内预付合同总金额的40%，余款在服务完毕形成调研报告并验收合格，且提供合格发票后五个工作日内支付完毕。</w:t>
      </w:r>
    </w:p>
    <w:p>
      <w:pPr>
        <w:spacing w:line="360" w:lineRule="auto"/>
        <w:ind w:firstLine="480" w:firstLineChars="200"/>
        <w:rPr>
          <w:sz w:val="24"/>
        </w:rPr>
      </w:pPr>
      <w:r>
        <w:rPr>
          <w:rFonts w:hint="eastAsia"/>
          <w:sz w:val="24"/>
        </w:rPr>
        <w:t>（二）投标价格的计算方式</w:t>
      </w:r>
    </w:p>
    <w:p>
      <w:pPr>
        <w:spacing w:line="360" w:lineRule="auto"/>
        <w:ind w:firstLine="480" w:firstLineChars="200"/>
        <w:rPr>
          <w:sz w:val="24"/>
        </w:rPr>
      </w:pPr>
      <w:r>
        <w:rPr>
          <w:rFonts w:hint="eastAsia"/>
          <w:sz w:val="24"/>
        </w:rPr>
        <w:t>计算方式：总价包干。</w:t>
      </w:r>
    </w:p>
    <w:p>
      <w:pPr>
        <w:spacing w:line="360" w:lineRule="auto"/>
        <w:rPr>
          <w:sz w:val="24"/>
        </w:rPr>
      </w:pPr>
    </w:p>
    <w:p>
      <w:pPr>
        <w:spacing w:line="360" w:lineRule="auto"/>
        <w:jc w:val="center"/>
        <w:rPr>
          <w:b/>
          <w:bCs/>
          <w:sz w:val="24"/>
        </w:rPr>
      </w:pPr>
      <w:r>
        <w:rPr>
          <w:rFonts w:hint="eastAsia"/>
          <w:b/>
          <w:bCs/>
          <w:sz w:val="24"/>
        </w:rPr>
        <w:t>四、履行</w:t>
      </w:r>
      <w:r>
        <w:rPr>
          <w:rFonts w:hint="eastAsia"/>
          <w:b/>
          <w:bCs/>
          <w:color w:val="000000" w:themeColor="text1"/>
          <w:sz w:val="24"/>
          <w:lang w:val="en-US" w:eastAsia="zh-CN"/>
          <w14:textFill>
            <w14:solidFill>
              <w14:schemeClr w14:val="tx1"/>
            </w14:solidFill>
          </w14:textFill>
        </w:rPr>
        <w:t>期限</w:t>
      </w:r>
      <w:r>
        <w:rPr>
          <w:rFonts w:hint="eastAsia"/>
          <w:b/>
          <w:bCs/>
          <w:sz w:val="24"/>
        </w:rPr>
        <w:t>和地点</w:t>
      </w:r>
    </w:p>
    <w:p>
      <w:pPr>
        <w:spacing w:line="360" w:lineRule="auto"/>
        <w:ind w:firstLine="480" w:firstLineChars="200"/>
        <w:rPr>
          <w:sz w:val="24"/>
          <w:u w:val="single"/>
        </w:rPr>
      </w:pPr>
      <w:r>
        <w:rPr>
          <w:rFonts w:hint="eastAsia"/>
          <w:sz w:val="24"/>
        </w:rPr>
        <w:t>（一）履行</w:t>
      </w:r>
      <w:r>
        <w:rPr>
          <w:rFonts w:hint="eastAsia"/>
          <w:sz w:val="24"/>
          <w:lang w:val="en-US" w:eastAsia="zh-CN"/>
        </w:rPr>
        <w:t>期限</w:t>
      </w:r>
      <w:r>
        <w:rPr>
          <w:rFonts w:hint="eastAsia"/>
          <w:sz w:val="24"/>
        </w:rPr>
        <w:t>：</w:t>
      </w:r>
      <w:r>
        <w:rPr>
          <w:rFonts w:hint="eastAsia"/>
          <w:color w:val="FF0000"/>
          <w:sz w:val="24"/>
          <w:u w:val="single"/>
        </w:rPr>
        <w:t>不超过一个月</w:t>
      </w:r>
    </w:p>
    <w:p>
      <w:pPr>
        <w:spacing w:line="360" w:lineRule="auto"/>
        <w:ind w:firstLine="480" w:firstLineChars="200"/>
        <w:rPr>
          <w:b/>
          <w:bCs/>
          <w:sz w:val="24"/>
        </w:rPr>
      </w:pPr>
      <w:r>
        <w:rPr>
          <w:rFonts w:hint="eastAsia"/>
          <w:sz w:val="24"/>
        </w:rPr>
        <w:t>（二）履行地点：</w:t>
      </w:r>
      <w:r>
        <w:rPr>
          <w:rFonts w:hint="eastAsia"/>
          <w:sz w:val="24"/>
          <w:u w:val="single"/>
        </w:rPr>
        <w:t xml:space="preserve"> 招标人住所地和招标人指定的深圳市内其他地点，具体以合同约定为准。  </w:t>
      </w:r>
    </w:p>
    <w:p>
      <w:r>
        <w:rPr>
          <w:b/>
          <w:bCs/>
          <w:sz w:val="24"/>
        </w:rPr>
        <w:br w:type="page"/>
      </w:r>
    </w:p>
    <w:p>
      <w:pPr>
        <w:spacing w:line="360" w:lineRule="auto"/>
        <w:jc w:val="center"/>
        <w:rPr>
          <w:b/>
          <w:bCs/>
          <w:sz w:val="24"/>
        </w:rPr>
      </w:pPr>
      <w:bookmarkStart w:id="5" w:name="_GoBack"/>
      <w:bookmarkEnd w:id="5"/>
      <w:r>
        <w:rPr>
          <w:rFonts w:hint="eastAsia"/>
          <w:b/>
          <w:bCs/>
          <w:sz w:val="24"/>
        </w:rPr>
        <w:t>五、投标人资信证明</w:t>
      </w:r>
    </w:p>
    <w:p>
      <w:pPr>
        <w:numPr>
          <w:ilvl w:val="0"/>
          <w:numId w:val="5"/>
        </w:numPr>
        <w:tabs>
          <w:tab w:val="left" w:pos="1050"/>
        </w:tabs>
        <w:spacing w:line="360" w:lineRule="auto"/>
        <w:ind w:left="0" w:firstLine="640"/>
        <w:rPr>
          <w:sz w:val="24"/>
        </w:rPr>
      </w:pPr>
      <w:r>
        <w:rPr>
          <w:rFonts w:hint="eastAsia"/>
          <w:sz w:val="24"/>
        </w:rPr>
        <w:t>企业需提供企业法人营业执照复印件；</w:t>
      </w:r>
    </w:p>
    <w:p>
      <w:pPr>
        <w:numPr>
          <w:ilvl w:val="0"/>
          <w:numId w:val="5"/>
        </w:numPr>
        <w:tabs>
          <w:tab w:val="left" w:pos="1050"/>
        </w:tabs>
        <w:spacing w:line="360" w:lineRule="auto"/>
        <w:ind w:left="0" w:firstLine="640"/>
        <w:rPr>
          <w:sz w:val="24"/>
        </w:rPr>
      </w:pPr>
      <w:r>
        <w:rPr>
          <w:rFonts w:hint="eastAsia"/>
          <w:sz w:val="24"/>
        </w:rPr>
        <w:t>提供招标公告前一年内未被列入失信被执行人、重大税收违法案件当事人名单、市场监督管理严重违法失信名单记的查询记录；</w:t>
      </w:r>
    </w:p>
    <w:p>
      <w:pPr>
        <w:spacing w:line="360" w:lineRule="auto"/>
        <w:rPr>
          <w:sz w:val="24"/>
        </w:rPr>
      </w:pPr>
    </w:p>
    <w:p>
      <w:pPr>
        <w:spacing w:line="360" w:lineRule="auto"/>
        <w:jc w:val="center"/>
        <w:rPr>
          <w:b/>
          <w:bCs/>
          <w:sz w:val="24"/>
        </w:rPr>
      </w:pPr>
      <w:r>
        <w:rPr>
          <w:rFonts w:hint="eastAsia"/>
          <w:b/>
          <w:bCs/>
          <w:sz w:val="24"/>
        </w:rPr>
        <w:t>六、投标文件的编制要求</w:t>
      </w:r>
    </w:p>
    <w:p>
      <w:pPr>
        <w:spacing w:line="360" w:lineRule="auto"/>
        <w:ind w:firstLine="480" w:firstLineChars="200"/>
        <w:rPr>
          <w:sz w:val="24"/>
        </w:rPr>
      </w:pPr>
      <w:r>
        <w:rPr>
          <w:rFonts w:hint="eastAsia"/>
          <w:sz w:val="24"/>
        </w:rPr>
        <w:t>（一）投标人应按以下顺序编制投标文件</w:t>
      </w:r>
    </w:p>
    <w:p>
      <w:pPr>
        <w:numPr>
          <w:ilvl w:val="0"/>
          <w:numId w:val="6"/>
        </w:numPr>
        <w:tabs>
          <w:tab w:val="left" w:pos="1050"/>
        </w:tabs>
        <w:spacing w:line="360" w:lineRule="auto"/>
        <w:ind w:left="0" w:firstLine="640"/>
        <w:rPr>
          <w:sz w:val="24"/>
        </w:rPr>
      </w:pPr>
      <w:r>
        <w:rPr>
          <w:rFonts w:hint="eastAsia"/>
          <w:sz w:val="24"/>
        </w:rPr>
        <w:t>报价表（提供详细的分项报价，格式自拟）；</w:t>
      </w:r>
    </w:p>
    <w:p>
      <w:pPr>
        <w:numPr>
          <w:ilvl w:val="0"/>
          <w:numId w:val="6"/>
        </w:numPr>
        <w:tabs>
          <w:tab w:val="left" w:pos="1050"/>
        </w:tabs>
        <w:spacing w:line="360" w:lineRule="auto"/>
        <w:ind w:left="0" w:firstLine="640"/>
        <w:rPr>
          <w:sz w:val="24"/>
        </w:rPr>
      </w:pPr>
      <w:r>
        <w:rPr>
          <w:rFonts w:hint="eastAsia"/>
          <w:sz w:val="24"/>
        </w:rPr>
        <w:t>企业法人营业执照复印件；</w:t>
      </w:r>
    </w:p>
    <w:p>
      <w:pPr>
        <w:numPr>
          <w:ilvl w:val="0"/>
          <w:numId w:val="6"/>
        </w:numPr>
        <w:tabs>
          <w:tab w:val="left" w:pos="1050"/>
        </w:tabs>
        <w:spacing w:line="360" w:lineRule="auto"/>
        <w:ind w:left="0" w:firstLine="640"/>
        <w:rPr>
          <w:sz w:val="24"/>
        </w:rPr>
      </w:pPr>
      <w:r>
        <w:rPr>
          <w:rFonts w:hint="eastAsia"/>
          <w:sz w:val="24"/>
        </w:rPr>
        <w:t>法定代表人身份证明书（自拟）；</w:t>
      </w:r>
    </w:p>
    <w:p>
      <w:pPr>
        <w:numPr>
          <w:ilvl w:val="0"/>
          <w:numId w:val="6"/>
        </w:numPr>
        <w:tabs>
          <w:tab w:val="left" w:pos="1050"/>
        </w:tabs>
        <w:spacing w:line="360" w:lineRule="auto"/>
        <w:ind w:left="0" w:firstLine="640"/>
        <w:rPr>
          <w:sz w:val="24"/>
        </w:rPr>
      </w:pPr>
      <w:r>
        <w:rPr>
          <w:rFonts w:hint="eastAsia"/>
          <w:sz w:val="24"/>
        </w:rPr>
        <w:t>法人授权委托书（自拟）；</w:t>
      </w:r>
    </w:p>
    <w:p>
      <w:pPr>
        <w:numPr>
          <w:ilvl w:val="0"/>
          <w:numId w:val="6"/>
        </w:numPr>
        <w:tabs>
          <w:tab w:val="left" w:pos="1050"/>
        </w:tabs>
        <w:spacing w:line="360" w:lineRule="auto"/>
        <w:ind w:left="0" w:firstLine="640"/>
        <w:rPr>
          <w:sz w:val="24"/>
        </w:rPr>
      </w:pPr>
      <w:r>
        <w:rPr>
          <w:rFonts w:hint="eastAsia"/>
          <w:sz w:val="24"/>
        </w:rPr>
        <w:t>投标人信用查询记录；</w:t>
      </w:r>
    </w:p>
    <w:p>
      <w:pPr>
        <w:numPr>
          <w:ilvl w:val="0"/>
          <w:numId w:val="6"/>
        </w:numPr>
        <w:tabs>
          <w:tab w:val="left" w:pos="1050"/>
        </w:tabs>
        <w:spacing w:line="360" w:lineRule="auto"/>
        <w:ind w:left="0" w:firstLine="640"/>
        <w:rPr>
          <w:sz w:val="24"/>
        </w:rPr>
      </w:pPr>
      <w:r>
        <w:rPr>
          <w:rFonts w:hint="eastAsia"/>
          <w:sz w:val="24"/>
        </w:rPr>
        <w:t>投标人基本情况（自拟）</w:t>
      </w:r>
    </w:p>
    <w:p>
      <w:pPr>
        <w:numPr>
          <w:ilvl w:val="0"/>
          <w:numId w:val="6"/>
        </w:numPr>
        <w:tabs>
          <w:tab w:val="left" w:pos="1050"/>
        </w:tabs>
        <w:spacing w:line="360" w:lineRule="auto"/>
        <w:ind w:left="0" w:firstLine="640"/>
        <w:rPr>
          <w:sz w:val="24"/>
        </w:rPr>
      </w:pPr>
      <w:r>
        <w:rPr>
          <w:rFonts w:hint="eastAsia"/>
          <w:sz w:val="24"/>
        </w:rPr>
        <w:t>相关资质证明材料；</w:t>
      </w:r>
    </w:p>
    <w:p>
      <w:pPr>
        <w:numPr>
          <w:ilvl w:val="0"/>
          <w:numId w:val="6"/>
        </w:numPr>
        <w:tabs>
          <w:tab w:val="left" w:pos="1050"/>
        </w:tabs>
        <w:spacing w:line="360" w:lineRule="auto"/>
        <w:ind w:left="0" w:firstLine="640"/>
        <w:rPr>
          <w:sz w:val="24"/>
        </w:rPr>
      </w:pPr>
      <w:r>
        <w:rPr>
          <w:rFonts w:hint="eastAsia"/>
          <w:sz w:val="24"/>
        </w:rPr>
        <w:t>整体服务方案（自拟）；</w:t>
      </w:r>
    </w:p>
    <w:p>
      <w:pPr>
        <w:numPr>
          <w:ilvl w:val="0"/>
          <w:numId w:val="6"/>
        </w:numPr>
        <w:tabs>
          <w:tab w:val="left" w:pos="1050"/>
        </w:tabs>
        <w:spacing w:line="360" w:lineRule="auto"/>
        <w:ind w:left="0" w:firstLine="640"/>
        <w:rPr>
          <w:sz w:val="24"/>
        </w:rPr>
      </w:pPr>
      <w:r>
        <w:rPr>
          <w:rFonts w:hint="eastAsia"/>
          <w:sz w:val="24"/>
        </w:rPr>
        <w:t>售后服务方案（自拟）；</w:t>
      </w:r>
    </w:p>
    <w:p>
      <w:pPr>
        <w:numPr>
          <w:ilvl w:val="0"/>
          <w:numId w:val="6"/>
        </w:numPr>
        <w:tabs>
          <w:tab w:val="left" w:pos="1050"/>
        </w:tabs>
        <w:spacing w:line="360" w:lineRule="auto"/>
        <w:ind w:left="0" w:firstLine="640"/>
        <w:rPr>
          <w:sz w:val="24"/>
        </w:rPr>
      </w:pPr>
      <w:r>
        <w:rPr>
          <w:rFonts w:hint="eastAsia"/>
          <w:sz w:val="24"/>
        </w:rPr>
        <w:t>其他投标人认为需要的文件。</w:t>
      </w:r>
    </w:p>
    <w:p>
      <w:pPr>
        <w:spacing w:line="360" w:lineRule="auto"/>
        <w:rPr>
          <w:sz w:val="24"/>
        </w:rPr>
      </w:pPr>
    </w:p>
    <w:p>
      <w:pPr>
        <w:spacing w:line="360" w:lineRule="auto"/>
        <w:jc w:val="center"/>
        <w:rPr>
          <w:sz w:val="24"/>
        </w:rPr>
      </w:pPr>
      <w:r>
        <w:rPr>
          <w:rFonts w:hint="eastAsia"/>
          <w:b/>
          <w:bCs/>
          <w:sz w:val="24"/>
        </w:rPr>
        <w:t>七、投标文件提交方式、地点、截止日期</w:t>
      </w:r>
    </w:p>
    <w:p>
      <w:pPr>
        <w:spacing w:line="360" w:lineRule="auto"/>
        <w:ind w:firstLine="480" w:firstLineChars="200"/>
        <w:rPr>
          <w:sz w:val="24"/>
        </w:rPr>
      </w:pPr>
      <w:r>
        <w:rPr>
          <w:rFonts w:hint="eastAsia"/>
          <w:sz w:val="24"/>
        </w:rPr>
        <w:t>（一）</w:t>
      </w:r>
      <w:r>
        <w:rPr>
          <w:sz w:val="24"/>
        </w:rPr>
        <w:t>投标文件的</w:t>
      </w:r>
      <w:r>
        <w:rPr>
          <w:rFonts w:hint="eastAsia"/>
          <w:sz w:val="24"/>
        </w:rPr>
        <w:t>提交日期</w:t>
      </w:r>
    </w:p>
    <w:p>
      <w:pPr>
        <w:numPr>
          <w:ilvl w:val="0"/>
          <w:numId w:val="7"/>
        </w:numPr>
        <w:tabs>
          <w:tab w:val="left" w:pos="1050"/>
        </w:tabs>
        <w:spacing w:line="360" w:lineRule="auto"/>
        <w:ind w:left="0" w:firstLine="640"/>
        <w:rPr>
          <w:sz w:val="24"/>
        </w:rPr>
      </w:pPr>
      <w:r>
        <w:rPr>
          <w:sz w:val="24"/>
        </w:rPr>
        <w:t>投标人应将纸质版投标文件密封在报价专用袋</w:t>
      </w:r>
      <w:r>
        <w:rPr>
          <w:rFonts w:hint="eastAsia"/>
          <w:sz w:val="24"/>
        </w:rPr>
        <w:t>（</w:t>
      </w:r>
      <w:r>
        <w:rPr>
          <w:sz w:val="24"/>
        </w:rPr>
        <w:t>箱</w:t>
      </w:r>
      <w:r>
        <w:rPr>
          <w:rFonts w:hint="eastAsia"/>
          <w:sz w:val="24"/>
        </w:rPr>
        <w:t>）</w:t>
      </w:r>
      <w:r>
        <w:rPr>
          <w:sz w:val="24"/>
        </w:rPr>
        <w:t>中，封口处应加盖骑缝章。封皮上均应写明：</w:t>
      </w:r>
    </w:p>
    <w:p>
      <w:pPr>
        <w:spacing w:line="360" w:lineRule="auto"/>
        <w:ind w:firstLine="480" w:firstLineChars="200"/>
        <w:rPr>
          <w:sz w:val="24"/>
        </w:rPr>
      </w:pPr>
      <w:r>
        <w:rPr>
          <w:sz w:val="24"/>
        </w:rPr>
        <w:t>致：</w:t>
      </w:r>
      <w:r>
        <w:rPr>
          <w:rFonts w:hint="eastAsia"/>
          <w:sz w:val="24"/>
        </w:rPr>
        <w:t>深圳市律师协会</w:t>
      </w:r>
    </w:p>
    <w:p>
      <w:pPr>
        <w:spacing w:line="360" w:lineRule="auto"/>
        <w:ind w:firstLine="480" w:firstLineChars="200"/>
        <w:rPr>
          <w:sz w:val="24"/>
          <w:u w:val="single"/>
        </w:rPr>
      </w:pPr>
      <w:r>
        <w:rPr>
          <w:sz w:val="24"/>
        </w:rPr>
        <w:t>项目名称：</w:t>
      </w:r>
      <w:r>
        <w:rPr>
          <w:rFonts w:hint="eastAsia"/>
          <w:sz w:val="24"/>
          <w:u w:val="single"/>
        </w:rPr>
        <w:t xml:space="preserve"> 秘书处薪酬绩效改革调研服务采购项目  </w:t>
      </w:r>
    </w:p>
    <w:p>
      <w:pPr>
        <w:spacing w:line="360" w:lineRule="auto"/>
        <w:ind w:firstLine="480" w:firstLineChars="200"/>
        <w:rPr>
          <w:sz w:val="24"/>
        </w:rPr>
      </w:pPr>
      <w:r>
        <w:rPr>
          <w:sz w:val="24"/>
        </w:rPr>
        <w:t>项目编号：</w:t>
      </w:r>
      <w:r>
        <w:rPr>
          <w:rFonts w:hint="eastAsia"/>
          <w:sz w:val="24"/>
          <w:u w:val="single"/>
        </w:rPr>
        <w:t xml:space="preserve"> </w:t>
      </w:r>
      <w:r>
        <w:rPr>
          <w:sz w:val="24"/>
          <w:u w:val="single"/>
        </w:rPr>
        <w:t>20</w:t>
      </w:r>
      <w:r>
        <w:rPr>
          <w:rFonts w:hint="eastAsia"/>
          <w:sz w:val="24"/>
          <w:u w:val="single"/>
          <w:lang w:val="en-US" w:eastAsia="zh-CN"/>
        </w:rPr>
        <w:t>22</w:t>
      </w:r>
      <w:r>
        <w:rPr>
          <w:sz w:val="24"/>
          <w:u w:val="single"/>
        </w:rPr>
        <w:t>SLX003</w:t>
      </w:r>
      <w:r>
        <w:rPr>
          <w:rFonts w:hint="eastAsia"/>
          <w:sz w:val="24"/>
          <w:u w:val="single"/>
        </w:rPr>
        <w:t xml:space="preserve"> </w:t>
      </w:r>
      <w:r>
        <w:rPr>
          <w:rFonts w:hint="eastAsia" w:ascii="宋体" w:hAnsi="宋体" w:eastAsia="宋体" w:cs="宋体"/>
          <w:bCs/>
          <w:kern w:val="0"/>
          <w:sz w:val="24"/>
          <w:u w:val="single"/>
          <w:shd w:val="clear" w:color="auto" w:fill="FFFFFF"/>
          <w:lang w:bidi="ar"/>
        </w:rPr>
        <w:t xml:space="preserve">号 </w:t>
      </w:r>
    </w:p>
    <w:p>
      <w:pPr>
        <w:spacing w:line="360" w:lineRule="auto"/>
        <w:ind w:firstLine="480" w:firstLineChars="200"/>
        <w:rPr>
          <w:sz w:val="24"/>
        </w:rPr>
      </w:pPr>
      <w:r>
        <w:rPr>
          <w:sz w:val="24"/>
        </w:rPr>
        <w:t>注明：</w:t>
      </w:r>
      <w:r>
        <w:rPr>
          <w:rFonts w:hint="eastAsia"/>
          <w:sz w:val="24"/>
        </w:rPr>
        <w:t>“</w:t>
      </w:r>
      <w:r>
        <w:rPr>
          <w:sz w:val="24"/>
        </w:rPr>
        <w:t>请勿在开标时间之前启封</w:t>
      </w:r>
      <w:r>
        <w:rPr>
          <w:rFonts w:hint="eastAsia"/>
          <w:sz w:val="24"/>
        </w:rPr>
        <w:t>”</w:t>
      </w:r>
    </w:p>
    <w:p>
      <w:pPr>
        <w:spacing w:line="360" w:lineRule="auto"/>
        <w:ind w:firstLine="480" w:firstLineChars="200"/>
        <w:rPr>
          <w:sz w:val="24"/>
        </w:rPr>
      </w:pPr>
      <w:r>
        <w:rPr>
          <w:sz w:val="24"/>
        </w:rPr>
        <w:t>投标单位名称、联系人姓名和电话</w:t>
      </w:r>
    </w:p>
    <w:p>
      <w:pPr>
        <w:numPr>
          <w:ilvl w:val="0"/>
          <w:numId w:val="7"/>
        </w:numPr>
        <w:tabs>
          <w:tab w:val="left" w:pos="1050"/>
        </w:tabs>
        <w:spacing w:line="360" w:lineRule="auto"/>
        <w:ind w:left="0" w:firstLine="640"/>
        <w:rPr>
          <w:sz w:val="24"/>
        </w:rPr>
      </w:pPr>
      <w:r>
        <w:rPr>
          <w:rFonts w:hint="eastAsia"/>
          <w:sz w:val="24"/>
        </w:rPr>
        <w:t>投标人应当在投标时一并提供样品。</w:t>
      </w:r>
    </w:p>
    <w:p>
      <w:pPr>
        <w:numPr>
          <w:ilvl w:val="0"/>
          <w:numId w:val="7"/>
        </w:numPr>
        <w:tabs>
          <w:tab w:val="left" w:pos="1050"/>
        </w:tabs>
        <w:spacing w:line="360" w:lineRule="auto"/>
        <w:ind w:left="0" w:firstLine="640"/>
        <w:rPr>
          <w:sz w:val="24"/>
        </w:rPr>
      </w:pPr>
      <w:r>
        <w:rPr>
          <w:sz w:val="24"/>
        </w:rPr>
        <w:t>投标文件未按上述规定书写标记和密封者，</w:t>
      </w:r>
      <w:r>
        <w:rPr>
          <w:rFonts w:hint="eastAsia"/>
          <w:sz w:val="24"/>
        </w:rPr>
        <w:t>深圳市律师协会</w:t>
      </w:r>
      <w:r>
        <w:rPr>
          <w:sz w:val="24"/>
        </w:rPr>
        <w:t>不对投标文件被错放或先期启封负责。</w:t>
      </w:r>
    </w:p>
    <w:p>
      <w:pPr>
        <w:spacing w:line="360" w:lineRule="auto"/>
        <w:ind w:firstLine="480" w:firstLineChars="200"/>
        <w:rPr>
          <w:sz w:val="24"/>
        </w:rPr>
      </w:pPr>
      <w:r>
        <w:rPr>
          <w:rFonts w:hint="eastAsia"/>
          <w:sz w:val="24"/>
        </w:rPr>
        <w:t>（二）投标文件的提交地点</w:t>
      </w:r>
    </w:p>
    <w:p>
      <w:pPr>
        <w:spacing w:line="360" w:lineRule="auto"/>
        <w:ind w:firstLine="480" w:firstLineChars="200"/>
        <w:rPr>
          <w:sz w:val="24"/>
        </w:rPr>
      </w:pPr>
      <w:r>
        <w:rPr>
          <w:rFonts w:hint="eastAsia"/>
          <w:sz w:val="24"/>
        </w:rPr>
        <w:t>提交地点：深圳市福田区深南大道4001号时代金融中心20层</w:t>
      </w:r>
      <w:r>
        <w:rPr>
          <w:rFonts w:hint="eastAsia"/>
          <w:sz w:val="24"/>
          <w:lang w:eastAsia="zh-Hans"/>
        </w:rPr>
        <w:t>深圳市律师协会</w:t>
      </w:r>
      <w:r>
        <w:rPr>
          <w:rFonts w:hint="eastAsia"/>
          <w:sz w:val="24"/>
        </w:rPr>
        <w:t>财务室</w:t>
      </w:r>
    </w:p>
    <w:p>
      <w:pPr>
        <w:spacing w:line="360" w:lineRule="auto"/>
        <w:ind w:firstLine="480" w:firstLineChars="200"/>
        <w:rPr>
          <w:sz w:val="24"/>
        </w:rPr>
      </w:pPr>
      <w:r>
        <w:rPr>
          <w:rFonts w:hint="eastAsia"/>
          <w:sz w:val="24"/>
        </w:rPr>
        <w:t>（三）</w:t>
      </w:r>
      <w:r>
        <w:rPr>
          <w:sz w:val="24"/>
        </w:rPr>
        <w:t>投标截止时间</w:t>
      </w:r>
    </w:p>
    <w:p>
      <w:pPr>
        <w:numPr>
          <w:ilvl w:val="0"/>
          <w:numId w:val="8"/>
        </w:numPr>
        <w:tabs>
          <w:tab w:val="left" w:pos="1050"/>
        </w:tabs>
        <w:spacing w:line="360" w:lineRule="auto"/>
        <w:ind w:left="0" w:firstLine="640"/>
        <w:rPr>
          <w:sz w:val="24"/>
        </w:rPr>
      </w:pPr>
      <w:r>
        <w:rPr>
          <w:rFonts w:hint="eastAsia"/>
          <w:sz w:val="24"/>
        </w:rPr>
        <w:t>本项目的投标截止日期为</w:t>
      </w:r>
      <w:r>
        <w:rPr>
          <w:rFonts w:hint="eastAsia"/>
          <w:color w:val="FF0000"/>
          <w:sz w:val="24"/>
        </w:rPr>
        <w:t>2022年9月</w:t>
      </w:r>
      <w:r>
        <w:rPr>
          <w:color w:val="FF0000"/>
          <w:sz w:val="24"/>
        </w:rPr>
        <w:t>26</w:t>
      </w:r>
      <w:r>
        <w:rPr>
          <w:rFonts w:hint="eastAsia"/>
          <w:color w:val="FF0000"/>
          <w:sz w:val="24"/>
        </w:rPr>
        <w:t>日</w:t>
      </w:r>
      <w:r>
        <w:rPr>
          <w:color w:val="FF0000"/>
          <w:sz w:val="24"/>
        </w:rPr>
        <w:t>9</w:t>
      </w:r>
      <w:r>
        <w:rPr>
          <w:rFonts w:hint="eastAsia"/>
          <w:color w:val="FF0000"/>
          <w:sz w:val="24"/>
        </w:rPr>
        <w:t>时</w:t>
      </w:r>
      <w:r>
        <w:rPr>
          <w:rFonts w:hint="eastAsia"/>
          <w:sz w:val="24"/>
        </w:rPr>
        <w:t>。</w:t>
      </w:r>
    </w:p>
    <w:p>
      <w:pPr>
        <w:numPr>
          <w:ilvl w:val="0"/>
          <w:numId w:val="8"/>
        </w:numPr>
        <w:tabs>
          <w:tab w:val="left" w:pos="1050"/>
        </w:tabs>
        <w:spacing w:line="360" w:lineRule="auto"/>
        <w:ind w:left="0" w:firstLine="640"/>
        <w:rPr>
          <w:sz w:val="24"/>
        </w:rPr>
      </w:pPr>
      <w:r>
        <w:rPr>
          <w:rFonts w:ascii="宋体" w:hAnsi="宋体" w:eastAsia="宋体" w:cs="宋体"/>
          <w:spacing w:val="18"/>
          <w:sz w:val="24"/>
        </w:rPr>
        <w:t>在</w:t>
      </w:r>
      <w:r>
        <w:rPr>
          <w:rFonts w:ascii="宋体" w:hAnsi="宋体" w:eastAsia="宋体" w:cs="宋体"/>
          <w:spacing w:val="9"/>
          <w:sz w:val="24"/>
        </w:rPr>
        <w:t>规定时间内提交投标文件的投标人不足3家，不得开标，本次招标</w:t>
      </w:r>
      <w:r>
        <w:rPr>
          <w:rFonts w:hint="eastAsia" w:ascii="宋体" w:hAnsi="宋体" w:eastAsia="宋体" w:cs="宋体"/>
          <w:spacing w:val="9"/>
          <w:sz w:val="24"/>
        </w:rPr>
        <w:t>失败。</w:t>
      </w:r>
    </w:p>
    <w:p>
      <w:pPr>
        <w:spacing w:line="360" w:lineRule="auto"/>
        <w:rPr>
          <w:sz w:val="24"/>
        </w:rPr>
      </w:pPr>
    </w:p>
    <w:p>
      <w:pPr>
        <w:spacing w:line="360" w:lineRule="auto"/>
        <w:rPr>
          <w:sz w:val="24"/>
        </w:rPr>
      </w:pPr>
    </w:p>
    <w:p>
      <w:pPr>
        <w:spacing w:line="360" w:lineRule="auto"/>
        <w:jc w:val="center"/>
        <w:rPr>
          <w:b/>
          <w:bCs/>
          <w:sz w:val="24"/>
        </w:rPr>
      </w:pPr>
      <w:r>
        <w:rPr>
          <w:rFonts w:hint="eastAsia"/>
          <w:b/>
          <w:bCs/>
          <w:sz w:val="24"/>
        </w:rPr>
        <w:t>八、开标、评标及中标</w:t>
      </w:r>
    </w:p>
    <w:p>
      <w:pPr>
        <w:spacing w:line="360" w:lineRule="auto"/>
        <w:ind w:firstLine="480" w:firstLineChars="200"/>
        <w:rPr>
          <w:sz w:val="24"/>
        </w:rPr>
      </w:pPr>
      <w:r>
        <w:rPr>
          <w:rFonts w:hint="eastAsia"/>
          <w:sz w:val="24"/>
        </w:rPr>
        <w:t>（一）开标</w:t>
      </w:r>
    </w:p>
    <w:p>
      <w:pPr>
        <w:numPr>
          <w:ilvl w:val="0"/>
          <w:numId w:val="9"/>
        </w:numPr>
        <w:tabs>
          <w:tab w:val="left" w:pos="1050"/>
        </w:tabs>
        <w:spacing w:line="360" w:lineRule="auto"/>
        <w:ind w:left="0" w:firstLine="640"/>
        <w:rPr>
          <w:sz w:val="24"/>
        </w:rPr>
      </w:pPr>
      <w:r>
        <w:rPr>
          <w:rFonts w:hint="eastAsia"/>
          <w:sz w:val="24"/>
        </w:rPr>
        <w:t>开标时间：</w:t>
      </w:r>
      <w:r>
        <w:rPr>
          <w:sz w:val="24"/>
        </w:rPr>
        <w:t xml:space="preserve"> </w:t>
      </w:r>
      <w:r>
        <w:rPr>
          <w:rFonts w:hint="eastAsia" w:cs="宋体"/>
          <w:bCs/>
          <w:color w:val="FF0000"/>
          <w:kern w:val="0"/>
          <w:sz w:val="24"/>
          <w:shd w:val="clear" w:color="auto" w:fill="FFFFFF"/>
          <w:lang w:bidi="ar"/>
        </w:rPr>
        <w:t>2022年9月</w:t>
      </w:r>
      <w:r>
        <w:rPr>
          <w:rFonts w:cs="宋体"/>
          <w:bCs/>
          <w:color w:val="FF0000"/>
          <w:kern w:val="0"/>
          <w:sz w:val="24"/>
          <w:shd w:val="clear" w:color="auto" w:fill="FFFFFF"/>
          <w:lang w:bidi="ar"/>
        </w:rPr>
        <w:t>26</w:t>
      </w:r>
      <w:r>
        <w:rPr>
          <w:rFonts w:hint="eastAsia" w:cs="宋体"/>
          <w:bCs/>
          <w:color w:val="FF0000"/>
          <w:kern w:val="0"/>
          <w:sz w:val="24"/>
          <w:shd w:val="clear" w:color="auto" w:fill="FFFFFF"/>
          <w:lang w:bidi="ar"/>
        </w:rPr>
        <w:t>日</w:t>
      </w:r>
      <w:r>
        <w:rPr>
          <w:rFonts w:cs="宋体"/>
          <w:bCs/>
          <w:color w:val="FF0000"/>
          <w:kern w:val="0"/>
          <w:sz w:val="24"/>
          <w:shd w:val="clear" w:color="auto" w:fill="FFFFFF"/>
          <w:lang w:bidi="ar"/>
        </w:rPr>
        <w:t>9</w:t>
      </w:r>
      <w:r>
        <w:rPr>
          <w:rFonts w:hint="eastAsia" w:cs="宋体"/>
          <w:bCs/>
          <w:color w:val="FF0000"/>
          <w:kern w:val="0"/>
          <w:sz w:val="24"/>
          <w:shd w:val="clear" w:color="auto" w:fill="FFFFFF"/>
          <w:lang w:bidi="ar"/>
        </w:rPr>
        <w:t>时</w:t>
      </w:r>
      <w:r>
        <w:rPr>
          <w:rFonts w:cs="宋体"/>
          <w:bCs/>
          <w:color w:val="FF0000"/>
          <w:kern w:val="0"/>
          <w:sz w:val="24"/>
          <w:shd w:val="clear" w:color="auto" w:fill="FFFFFF"/>
          <w:lang w:bidi="ar"/>
        </w:rPr>
        <w:t>30</w:t>
      </w:r>
      <w:r>
        <w:rPr>
          <w:rFonts w:hint="eastAsia" w:cs="宋体"/>
          <w:bCs/>
          <w:color w:val="FF0000"/>
          <w:kern w:val="0"/>
          <w:sz w:val="24"/>
          <w:shd w:val="clear" w:color="auto" w:fill="FFFFFF"/>
          <w:lang w:bidi="ar"/>
        </w:rPr>
        <w:t>分。</w:t>
      </w:r>
    </w:p>
    <w:p>
      <w:pPr>
        <w:numPr>
          <w:ilvl w:val="0"/>
          <w:numId w:val="9"/>
        </w:numPr>
        <w:tabs>
          <w:tab w:val="left" w:pos="1050"/>
        </w:tabs>
        <w:spacing w:line="360" w:lineRule="auto"/>
        <w:ind w:left="0" w:firstLine="640"/>
        <w:rPr>
          <w:sz w:val="24"/>
        </w:rPr>
      </w:pPr>
      <w:r>
        <w:rPr>
          <w:rFonts w:hint="eastAsia"/>
          <w:sz w:val="24"/>
        </w:rPr>
        <w:t>开标地点： 深圳市律师协会第一会议室。</w:t>
      </w:r>
    </w:p>
    <w:p>
      <w:pPr>
        <w:numPr>
          <w:ilvl w:val="0"/>
          <w:numId w:val="9"/>
        </w:numPr>
        <w:tabs>
          <w:tab w:val="left" w:pos="1050"/>
        </w:tabs>
        <w:spacing w:line="360" w:lineRule="auto"/>
        <w:ind w:left="0" w:firstLine="640"/>
        <w:rPr>
          <w:sz w:val="24"/>
        </w:rPr>
      </w:pPr>
      <w:r>
        <w:rPr>
          <w:rFonts w:hint="eastAsia"/>
          <w:sz w:val="24"/>
        </w:rPr>
        <w:t>开标时，投标人代表将查验投标文件密封情况，深圳市律师协会将作开标记录。</w:t>
      </w:r>
    </w:p>
    <w:p>
      <w:pPr>
        <w:numPr>
          <w:ilvl w:val="0"/>
          <w:numId w:val="9"/>
        </w:numPr>
        <w:tabs>
          <w:tab w:val="left" w:pos="1050"/>
        </w:tabs>
        <w:spacing w:line="360" w:lineRule="auto"/>
        <w:ind w:left="0" w:firstLine="640"/>
        <w:rPr>
          <w:sz w:val="24"/>
        </w:rPr>
      </w:pPr>
      <w:r>
        <w:rPr>
          <w:rFonts w:hint="eastAsia"/>
          <w:sz w:val="24"/>
        </w:rPr>
        <w:t>若投标文件未密封或密封不完整，深圳市律师协会将拒绝接受该投标人的投标文件。</w:t>
      </w:r>
    </w:p>
    <w:p>
      <w:pPr>
        <w:spacing w:line="360" w:lineRule="auto"/>
        <w:ind w:firstLine="480" w:firstLineChars="200"/>
        <w:rPr>
          <w:sz w:val="24"/>
        </w:rPr>
      </w:pPr>
      <w:r>
        <w:rPr>
          <w:rFonts w:hint="eastAsia"/>
          <w:sz w:val="24"/>
        </w:rPr>
        <w:t>（二）评标</w:t>
      </w:r>
    </w:p>
    <w:p>
      <w:pPr>
        <w:numPr>
          <w:ilvl w:val="0"/>
          <w:numId w:val="10"/>
        </w:numPr>
        <w:tabs>
          <w:tab w:val="left" w:pos="1050"/>
        </w:tabs>
        <w:spacing w:line="360" w:lineRule="auto"/>
        <w:ind w:left="0" w:firstLine="640"/>
        <w:rPr>
          <w:sz w:val="24"/>
        </w:rPr>
      </w:pPr>
      <w:r>
        <w:rPr>
          <w:rFonts w:hint="eastAsia"/>
          <w:sz w:val="24"/>
        </w:rPr>
        <w:t>评标时间：</w:t>
      </w:r>
      <w:r>
        <w:rPr>
          <w:rFonts w:hint="eastAsia"/>
          <w:sz w:val="24"/>
          <w:u w:val="single"/>
        </w:rPr>
        <w:t xml:space="preserve">  评标在开标后三个工作日内（不含开标当日）进行  </w:t>
      </w:r>
    </w:p>
    <w:p>
      <w:pPr>
        <w:numPr>
          <w:ilvl w:val="0"/>
          <w:numId w:val="10"/>
        </w:numPr>
        <w:tabs>
          <w:tab w:val="left" w:pos="1050"/>
        </w:tabs>
        <w:spacing w:line="360" w:lineRule="auto"/>
        <w:ind w:left="0" w:firstLine="640"/>
        <w:rPr>
          <w:sz w:val="24"/>
        </w:rPr>
      </w:pPr>
      <w:r>
        <w:rPr>
          <w:rFonts w:hint="eastAsia"/>
          <w:sz w:val="24"/>
        </w:rPr>
        <w:t>评标地点：</w:t>
      </w:r>
      <w:r>
        <w:rPr>
          <w:rFonts w:hint="eastAsia"/>
          <w:sz w:val="24"/>
          <w:u w:val="single"/>
        </w:rPr>
        <w:t xml:space="preserve">  深圳市律师协会第一会议室   </w:t>
      </w:r>
      <w:r>
        <w:rPr>
          <w:rFonts w:hint="eastAsia"/>
          <w:sz w:val="24"/>
        </w:rPr>
        <w:t xml:space="preserve">    </w:t>
      </w:r>
    </w:p>
    <w:p>
      <w:pPr>
        <w:numPr>
          <w:ilvl w:val="0"/>
          <w:numId w:val="10"/>
        </w:numPr>
        <w:tabs>
          <w:tab w:val="left" w:pos="1050"/>
        </w:tabs>
        <w:spacing w:line="360" w:lineRule="auto"/>
        <w:ind w:left="0" w:firstLine="640"/>
        <w:rPr>
          <w:sz w:val="24"/>
        </w:rPr>
      </w:pPr>
      <w:r>
        <w:rPr>
          <w:rFonts w:hint="eastAsia"/>
          <w:sz w:val="24"/>
        </w:rPr>
        <w:t>评标方式</w:t>
      </w:r>
    </w:p>
    <w:p>
      <w:pPr>
        <w:spacing w:line="360" w:lineRule="auto"/>
        <w:ind w:firstLine="560"/>
        <w:rPr>
          <w:sz w:val="24"/>
        </w:rPr>
      </w:pPr>
      <w:r>
        <w:rPr>
          <w:rFonts w:hint="eastAsia"/>
          <w:sz w:val="24"/>
        </w:rPr>
        <w:t>评标分值组成</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45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jc w:val="center"/>
              <w:rPr>
                <w:sz w:val="24"/>
              </w:rPr>
            </w:pPr>
            <w:r>
              <w:rPr>
                <w:rFonts w:hint="eastAsia"/>
                <w:sz w:val="24"/>
              </w:rPr>
              <w:t>序号</w:t>
            </w:r>
          </w:p>
        </w:tc>
        <w:tc>
          <w:tcPr>
            <w:tcW w:w="4504" w:type="dxa"/>
            <w:vAlign w:val="center"/>
          </w:tcPr>
          <w:p>
            <w:pPr>
              <w:jc w:val="center"/>
              <w:rPr>
                <w:sz w:val="24"/>
              </w:rPr>
            </w:pPr>
            <w:r>
              <w:rPr>
                <w:rFonts w:hint="eastAsia"/>
                <w:sz w:val="24"/>
              </w:rPr>
              <w:t>评审步骤</w:t>
            </w:r>
          </w:p>
        </w:tc>
        <w:tc>
          <w:tcPr>
            <w:tcW w:w="2841" w:type="dxa"/>
            <w:vAlign w:val="center"/>
          </w:tcPr>
          <w:p>
            <w:pPr>
              <w:jc w:val="center"/>
              <w:rPr>
                <w:sz w:val="24"/>
              </w:rPr>
            </w:pPr>
            <w:r>
              <w:rPr>
                <w:rFonts w:hint="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77" w:type="dxa"/>
            <w:vAlign w:val="center"/>
          </w:tcPr>
          <w:p>
            <w:pPr>
              <w:jc w:val="center"/>
              <w:rPr>
                <w:sz w:val="24"/>
              </w:rPr>
            </w:pPr>
            <w:r>
              <w:rPr>
                <w:rFonts w:hint="eastAsia"/>
                <w:sz w:val="24"/>
              </w:rPr>
              <w:t>1</w:t>
            </w:r>
          </w:p>
        </w:tc>
        <w:tc>
          <w:tcPr>
            <w:tcW w:w="4504" w:type="dxa"/>
            <w:vAlign w:val="center"/>
          </w:tcPr>
          <w:p>
            <w:pPr>
              <w:jc w:val="center"/>
              <w:rPr>
                <w:sz w:val="24"/>
              </w:rPr>
            </w:pPr>
            <w:r>
              <w:rPr>
                <w:rFonts w:hint="eastAsia"/>
                <w:sz w:val="24"/>
              </w:rPr>
              <w:t>商务技术</w:t>
            </w:r>
          </w:p>
        </w:tc>
        <w:tc>
          <w:tcPr>
            <w:tcW w:w="2841" w:type="dxa"/>
            <w:vAlign w:val="center"/>
          </w:tcPr>
          <w:p>
            <w:pPr>
              <w:jc w:val="center"/>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jc w:val="center"/>
              <w:rPr>
                <w:sz w:val="24"/>
              </w:rPr>
            </w:pPr>
            <w:r>
              <w:rPr>
                <w:rFonts w:hint="eastAsia"/>
                <w:sz w:val="24"/>
              </w:rPr>
              <w:t>2</w:t>
            </w:r>
          </w:p>
        </w:tc>
        <w:tc>
          <w:tcPr>
            <w:tcW w:w="4504" w:type="dxa"/>
            <w:vAlign w:val="center"/>
          </w:tcPr>
          <w:p>
            <w:pPr>
              <w:jc w:val="center"/>
              <w:rPr>
                <w:sz w:val="24"/>
              </w:rPr>
            </w:pPr>
            <w:r>
              <w:rPr>
                <w:rFonts w:hint="eastAsia"/>
                <w:sz w:val="24"/>
              </w:rPr>
              <w:t>价格评审</w:t>
            </w:r>
          </w:p>
        </w:tc>
        <w:tc>
          <w:tcPr>
            <w:tcW w:w="2841" w:type="dxa"/>
            <w:vAlign w:val="center"/>
          </w:tcPr>
          <w:p>
            <w:pPr>
              <w:jc w:val="center"/>
              <w:rPr>
                <w:sz w:val="24"/>
              </w:rPr>
            </w:pPr>
            <w:r>
              <w:rPr>
                <w:rFonts w:hint="eastAsia"/>
                <w:sz w:val="24"/>
              </w:rPr>
              <w:t>40</w:t>
            </w:r>
          </w:p>
        </w:tc>
      </w:tr>
    </w:tbl>
    <w:p>
      <w:pPr>
        <w:rPr>
          <w:sz w:val="24"/>
        </w:rPr>
      </w:pPr>
    </w:p>
    <w:p>
      <w:pPr>
        <w:numPr>
          <w:ilvl w:val="0"/>
          <w:numId w:val="10"/>
        </w:numPr>
        <w:tabs>
          <w:tab w:val="left" w:pos="1050"/>
        </w:tabs>
        <w:ind w:left="0" w:firstLine="640"/>
        <w:rPr>
          <w:sz w:val="24"/>
        </w:rPr>
      </w:pPr>
      <w:r>
        <w:rPr>
          <w:rFonts w:hint="eastAsia"/>
          <w:sz w:val="24"/>
        </w:rPr>
        <w:t>评审标准：</w:t>
      </w:r>
    </w:p>
    <w:p>
      <w:pPr>
        <w:ind w:firstLine="560"/>
        <w:rPr>
          <w:sz w:val="24"/>
        </w:rPr>
      </w:pPr>
      <w:r>
        <w:rPr>
          <w:rFonts w:hint="eastAsia"/>
          <w:sz w:val="24"/>
        </w:rPr>
        <w:t>（1）商务评分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064"/>
        <w:gridCol w:w="457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1" w:type="dxa"/>
            <w:vAlign w:val="center"/>
          </w:tcPr>
          <w:p>
            <w:pPr>
              <w:tabs>
                <w:tab w:val="left" w:pos="1453"/>
              </w:tabs>
              <w:jc w:val="center"/>
              <w:rPr>
                <w:sz w:val="24"/>
              </w:rPr>
            </w:pPr>
            <w:r>
              <w:rPr>
                <w:rFonts w:hint="eastAsia"/>
                <w:sz w:val="24"/>
              </w:rPr>
              <w:t>序号</w:t>
            </w:r>
          </w:p>
        </w:tc>
        <w:tc>
          <w:tcPr>
            <w:tcW w:w="2064" w:type="dxa"/>
            <w:vAlign w:val="center"/>
          </w:tcPr>
          <w:p>
            <w:pPr>
              <w:tabs>
                <w:tab w:val="left" w:pos="1453"/>
              </w:tabs>
              <w:jc w:val="center"/>
              <w:rPr>
                <w:sz w:val="24"/>
              </w:rPr>
            </w:pPr>
            <w:r>
              <w:rPr>
                <w:rFonts w:hint="eastAsia"/>
                <w:sz w:val="24"/>
              </w:rPr>
              <w:t>评审因素</w:t>
            </w:r>
          </w:p>
        </w:tc>
        <w:tc>
          <w:tcPr>
            <w:tcW w:w="4572" w:type="dxa"/>
          </w:tcPr>
          <w:p>
            <w:pPr>
              <w:tabs>
                <w:tab w:val="left" w:pos="1453"/>
              </w:tabs>
              <w:jc w:val="center"/>
              <w:rPr>
                <w:sz w:val="24"/>
              </w:rPr>
            </w:pPr>
            <w:r>
              <w:rPr>
                <w:rFonts w:hint="eastAsia"/>
                <w:sz w:val="24"/>
              </w:rPr>
              <w:t>评分标准</w:t>
            </w:r>
          </w:p>
        </w:tc>
        <w:tc>
          <w:tcPr>
            <w:tcW w:w="1045" w:type="dxa"/>
          </w:tcPr>
          <w:p>
            <w:pPr>
              <w:tabs>
                <w:tab w:val="left" w:pos="1453"/>
              </w:tabs>
              <w:jc w:val="center"/>
              <w:rPr>
                <w:sz w:val="24"/>
              </w:rPr>
            </w:pPr>
            <w:r>
              <w:rPr>
                <w:rFonts w:hint="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sz w:val="24"/>
              </w:rPr>
            </w:pPr>
            <w:r>
              <w:rPr>
                <w:rFonts w:hint="eastAsia"/>
                <w:sz w:val="24"/>
              </w:rPr>
              <w:t>1</w:t>
            </w:r>
          </w:p>
        </w:tc>
        <w:tc>
          <w:tcPr>
            <w:tcW w:w="2064" w:type="dxa"/>
            <w:vAlign w:val="center"/>
          </w:tcPr>
          <w:p>
            <w:pPr>
              <w:tabs>
                <w:tab w:val="left" w:pos="1453"/>
              </w:tabs>
              <w:jc w:val="center"/>
              <w:rPr>
                <w:sz w:val="24"/>
              </w:rPr>
            </w:pPr>
            <w:r>
              <w:rPr>
                <w:rFonts w:hint="eastAsia"/>
                <w:sz w:val="24"/>
              </w:rPr>
              <w:t>投标人规模</w:t>
            </w:r>
          </w:p>
        </w:tc>
        <w:tc>
          <w:tcPr>
            <w:tcW w:w="4572" w:type="dxa"/>
          </w:tcPr>
          <w:p>
            <w:pPr>
              <w:tabs>
                <w:tab w:val="left" w:pos="1453"/>
              </w:tabs>
              <w:jc w:val="left"/>
              <w:rPr>
                <w:sz w:val="24"/>
              </w:rPr>
            </w:pPr>
            <w:r>
              <w:rPr>
                <w:rFonts w:hint="eastAsia"/>
                <w:sz w:val="24"/>
              </w:rPr>
              <w:t>企业人员在20人以上（含本数）的</w:t>
            </w:r>
            <w:r>
              <w:rPr>
                <w:sz w:val="24"/>
              </w:rPr>
              <w:t>得</w:t>
            </w:r>
            <w:r>
              <w:rPr>
                <w:rFonts w:hint="eastAsia"/>
                <w:sz w:val="24"/>
              </w:rPr>
              <w:t>10</w:t>
            </w:r>
            <w:r>
              <w:rPr>
                <w:sz w:val="24"/>
              </w:rPr>
              <w:t>分</w:t>
            </w:r>
            <w:r>
              <w:rPr>
                <w:rFonts w:hint="eastAsia"/>
                <w:sz w:val="24"/>
              </w:rPr>
              <w:t>，10人以上（含）不满20人的得6分；5人以上（含）不满10人的得4分，不满5人的不得分。投标人须提供投标时的企业社保资料证明。</w:t>
            </w:r>
            <w:r>
              <w:rPr>
                <w:sz w:val="24"/>
              </w:rPr>
              <w:t xml:space="preserve">    </w:t>
            </w:r>
          </w:p>
        </w:tc>
        <w:tc>
          <w:tcPr>
            <w:tcW w:w="1045" w:type="dxa"/>
            <w:vAlign w:val="center"/>
          </w:tcPr>
          <w:p>
            <w:pPr>
              <w:tabs>
                <w:tab w:val="left" w:pos="1453"/>
              </w:tabs>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sz w:val="24"/>
              </w:rPr>
            </w:pPr>
            <w:r>
              <w:rPr>
                <w:rFonts w:hint="eastAsia"/>
                <w:sz w:val="24"/>
              </w:rPr>
              <w:t>2</w:t>
            </w:r>
          </w:p>
        </w:tc>
        <w:tc>
          <w:tcPr>
            <w:tcW w:w="2064" w:type="dxa"/>
            <w:vAlign w:val="center"/>
          </w:tcPr>
          <w:p>
            <w:pPr>
              <w:tabs>
                <w:tab w:val="left" w:pos="1453"/>
              </w:tabs>
              <w:jc w:val="center"/>
              <w:rPr>
                <w:sz w:val="24"/>
              </w:rPr>
            </w:pPr>
            <w:r>
              <w:rPr>
                <w:rFonts w:hint="eastAsia"/>
                <w:sz w:val="24"/>
              </w:rPr>
              <w:t>既往业绩</w:t>
            </w:r>
          </w:p>
        </w:tc>
        <w:tc>
          <w:tcPr>
            <w:tcW w:w="4572" w:type="dxa"/>
          </w:tcPr>
          <w:p>
            <w:pPr>
              <w:tabs>
                <w:tab w:val="left" w:pos="1453"/>
              </w:tabs>
              <w:jc w:val="left"/>
              <w:rPr>
                <w:sz w:val="24"/>
              </w:rPr>
            </w:pPr>
            <w:r>
              <w:rPr>
                <w:rFonts w:hint="eastAsia"/>
                <w:sz w:val="24"/>
              </w:rPr>
              <w:t>提供以往与单位薪酬调研相关的服务项目合同，每份（包含合同和支付凭证）</w:t>
            </w:r>
            <w:r>
              <w:rPr>
                <w:sz w:val="24"/>
              </w:rPr>
              <w:t>得</w:t>
            </w:r>
            <w:r>
              <w:rPr>
                <w:rFonts w:hint="eastAsia"/>
                <w:sz w:val="24"/>
              </w:rPr>
              <w:t>5</w:t>
            </w:r>
            <w:r>
              <w:rPr>
                <w:sz w:val="24"/>
              </w:rPr>
              <w:t>分</w:t>
            </w:r>
            <w:r>
              <w:rPr>
                <w:rFonts w:hint="eastAsia"/>
                <w:sz w:val="24"/>
              </w:rPr>
              <w:t>，最高得20分，未提供或者提供的不符合要求</w:t>
            </w:r>
            <w:r>
              <w:rPr>
                <w:sz w:val="24"/>
              </w:rPr>
              <w:t>的不得分。</w:t>
            </w:r>
          </w:p>
        </w:tc>
        <w:tc>
          <w:tcPr>
            <w:tcW w:w="1045" w:type="dxa"/>
            <w:vAlign w:val="center"/>
          </w:tcPr>
          <w:p>
            <w:pPr>
              <w:tabs>
                <w:tab w:val="left" w:pos="1453"/>
              </w:tabs>
              <w:jc w:val="cente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sz w:val="24"/>
              </w:rPr>
            </w:pPr>
            <w:r>
              <w:rPr>
                <w:rFonts w:hint="eastAsia"/>
                <w:sz w:val="24"/>
              </w:rPr>
              <w:t>3</w:t>
            </w:r>
          </w:p>
        </w:tc>
        <w:tc>
          <w:tcPr>
            <w:tcW w:w="2064" w:type="dxa"/>
            <w:vAlign w:val="center"/>
          </w:tcPr>
          <w:p>
            <w:pPr>
              <w:tabs>
                <w:tab w:val="left" w:pos="1453"/>
              </w:tabs>
              <w:jc w:val="center"/>
              <w:rPr>
                <w:sz w:val="24"/>
              </w:rPr>
            </w:pPr>
            <w:r>
              <w:rPr>
                <w:rFonts w:hint="eastAsia"/>
                <w:sz w:val="24"/>
              </w:rPr>
              <w:t>整体服务方案</w:t>
            </w:r>
          </w:p>
        </w:tc>
        <w:tc>
          <w:tcPr>
            <w:tcW w:w="4572" w:type="dxa"/>
          </w:tcPr>
          <w:p>
            <w:pPr>
              <w:tabs>
                <w:tab w:val="left" w:pos="1453"/>
              </w:tabs>
              <w:jc w:val="left"/>
              <w:rPr>
                <w:sz w:val="24"/>
              </w:rPr>
            </w:pPr>
            <w:r>
              <w:rPr>
                <w:sz w:val="24"/>
              </w:rPr>
              <w:t>投标人为本项目提供整体服务方案</w:t>
            </w:r>
            <w:r>
              <w:rPr>
                <w:rFonts w:hint="eastAsia"/>
                <w:sz w:val="24"/>
              </w:rPr>
              <w:t>。</w:t>
            </w:r>
            <w:r>
              <w:rPr>
                <w:sz w:val="24"/>
              </w:rPr>
              <w:t>方案科学合理、可行性强、完全符合本项目要求的得</w:t>
            </w:r>
            <w:r>
              <w:rPr>
                <w:rFonts w:hint="eastAsia"/>
                <w:sz w:val="24"/>
              </w:rPr>
              <w:t>15</w:t>
            </w:r>
            <w:r>
              <w:rPr>
                <w:sz w:val="24"/>
              </w:rPr>
              <w:t>-</w:t>
            </w:r>
            <w:r>
              <w:rPr>
                <w:rFonts w:hint="eastAsia"/>
                <w:sz w:val="24"/>
              </w:rPr>
              <w:t>2</w:t>
            </w:r>
            <w:r>
              <w:rPr>
                <w:sz w:val="24"/>
              </w:rPr>
              <w:t>0 分</w:t>
            </w:r>
            <w:r>
              <w:rPr>
                <w:rFonts w:hint="eastAsia"/>
                <w:sz w:val="24"/>
              </w:rPr>
              <w:t>；</w:t>
            </w:r>
            <w:r>
              <w:rPr>
                <w:sz w:val="24"/>
              </w:rPr>
              <w:t>方案较科学合理、可行性较强、基本符合本项目要求的得</w:t>
            </w:r>
            <w:r>
              <w:rPr>
                <w:rFonts w:hint="eastAsia"/>
                <w:sz w:val="24"/>
              </w:rPr>
              <w:t>10</w:t>
            </w:r>
            <w:r>
              <w:rPr>
                <w:sz w:val="24"/>
              </w:rPr>
              <w:t>-</w:t>
            </w:r>
            <w:r>
              <w:rPr>
                <w:rFonts w:hint="eastAsia"/>
                <w:sz w:val="24"/>
              </w:rPr>
              <w:t>14</w:t>
            </w:r>
            <w:r>
              <w:rPr>
                <w:sz w:val="24"/>
              </w:rPr>
              <w:t>分</w:t>
            </w:r>
            <w:r>
              <w:rPr>
                <w:rFonts w:hint="eastAsia"/>
                <w:sz w:val="24"/>
              </w:rPr>
              <w:t>；</w:t>
            </w:r>
            <w:r>
              <w:rPr>
                <w:sz w:val="24"/>
              </w:rPr>
              <w:t>方案合理程度一般、可行性一般、与项目的吻合度一般的得</w:t>
            </w:r>
            <w:r>
              <w:rPr>
                <w:rFonts w:hint="eastAsia"/>
                <w:sz w:val="24"/>
              </w:rPr>
              <w:t>5</w:t>
            </w:r>
            <w:r>
              <w:rPr>
                <w:sz w:val="24"/>
              </w:rPr>
              <w:t>-</w:t>
            </w:r>
            <w:r>
              <w:rPr>
                <w:rFonts w:hint="eastAsia"/>
                <w:sz w:val="24"/>
              </w:rPr>
              <w:t>9</w:t>
            </w:r>
            <w:r>
              <w:rPr>
                <w:sz w:val="24"/>
              </w:rPr>
              <w:t>分；方案较差、可行性不强、不符合本项目要求的得0分。</w:t>
            </w:r>
          </w:p>
        </w:tc>
        <w:tc>
          <w:tcPr>
            <w:tcW w:w="1045" w:type="dxa"/>
            <w:vAlign w:val="center"/>
          </w:tcPr>
          <w:p>
            <w:pPr>
              <w:tabs>
                <w:tab w:val="left" w:pos="1453"/>
              </w:tabs>
              <w:jc w:val="cente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jc w:val="center"/>
              <w:rPr>
                <w:sz w:val="24"/>
              </w:rPr>
            </w:pPr>
            <w:r>
              <w:rPr>
                <w:rFonts w:hint="eastAsia"/>
                <w:sz w:val="24"/>
              </w:rPr>
              <w:t>4</w:t>
            </w:r>
          </w:p>
        </w:tc>
        <w:tc>
          <w:tcPr>
            <w:tcW w:w="2064" w:type="dxa"/>
            <w:vAlign w:val="center"/>
          </w:tcPr>
          <w:p>
            <w:pPr>
              <w:tabs>
                <w:tab w:val="left" w:pos="1453"/>
              </w:tabs>
              <w:jc w:val="center"/>
              <w:rPr>
                <w:sz w:val="24"/>
              </w:rPr>
            </w:pPr>
            <w:r>
              <w:rPr>
                <w:rFonts w:hint="eastAsia"/>
                <w:sz w:val="24"/>
              </w:rPr>
              <w:t>售后方案</w:t>
            </w:r>
          </w:p>
        </w:tc>
        <w:tc>
          <w:tcPr>
            <w:tcW w:w="4572" w:type="dxa"/>
          </w:tcPr>
          <w:p>
            <w:pPr>
              <w:tabs>
                <w:tab w:val="left" w:pos="1453"/>
              </w:tabs>
              <w:jc w:val="left"/>
              <w:rPr>
                <w:sz w:val="24"/>
              </w:rPr>
            </w:pPr>
            <w:r>
              <w:rPr>
                <w:sz w:val="24"/>
              </w:rPr>
              <w:t>投标人为本项目提供售后服务方案</w:t>
            </w:r>
            <w:r>
              <w:rPr>
                <w:rFonts w:hint="eastAsia"/>
                <w:sz w:val="24"/>
              </w:rPr>
              <w:t>。</w:t>
            </w:r>
            <w:r>
              <w:rPr>
                <w:sz w:val="24"/>
              </w:rPr>
              <w:t>方案科学合理、可行性强、完全符合本项目要求的得7-10分</w:t>
            </w:r>
            <w:r>
              <w:rPr>
                <w:rFonts w:hint="eastAsia"/>
                <w:sz w:val="24"/>
              </w:rPr>
              <w:t>；</w:t>
            </w:r>
            <w:r>
              <w:rPr>
                <w:sz w:val="24"/>
              </w:rPr>
              <w:t>方案较  科学合理、可行性较强、基本符合本项目要求的得4-6 分；方案合理程度一般、可行性一般、与项目的吻合  度一般的得1-3分；方案较差、可行性不强、不符合本项目要求的得0分。</w:t>
            </w:r>
          </w:p>
        </w:tc>
        <w:tc>
          <w:tcPr>
            <w:tcW w:w="1045" w:type="dxa"/>
            <w:vAlign w:val="center"/>
          </w:tcPr>
          <w:p>
            <w:pPr>
              <w:tabs>
                <w:tab w:val="left" w:pos="1453"/>
              </w:tabs>
              <w:jc w:val="center"/>
              <w:rPr>
                <w:sz w:val="24"/>
              </w:rPr>
            </w:pPr>
            <w:r>
              <w:rPr>
                <w:rFonts w:hint="eastAsia"/>
                <w:sz w:val="24"/>
              </w:rPr>
              <w:t>10</w:t>
            </w:r>
          </w:p>
        </w:tc>
      </w:tr>
    </w:tbl>
    <w:p>
      <w:pPr>
        <w:tabs>
          <w:tab w:val="left" w:pos="1453"/>
        </w:tabs>
        <w:rPr>
          <w:sz w:val="24"/>
        </w:rPr>
      </w:pPr>
    </w:p>
    <w:p>
      <w:pPr>
        <w:spacing w:line="360" w:lineRule="auto"/>
        <w:ind w:firstLine="560"/>
        <w:rPr>
          <w:sz w:val="24"/>
        </w:rPr>
      </w:pPr>
      <w:r>
        <w:rPr>
          <w:rFonts w:hint="eastAsia"/>
          <w:sz w:val="24"/>
        </w:rPr>
        <w:t>（2）价格评分</w:t>
      </w:r>
    </w:p>
    <w:p>
      <w:pPr>
        <w:spacing w:line="360" w:lineRule="auto"/>
        <w:ind w:firstLine="560"/>
        <w:rPr>
          <w:sz w:val="24"/>
        </w:rPr>
      </w:pPr>
      <w:r>
        <w:rPr>
          <w:rFonts w:hint="eastAsia"/>
          <w:sz w:val="24"/>
        </w:rPr>
        <w:t>报价得分=（评标基准价/投标报价）*100*40%；评标基准价等于有效投标单位中报价的最小值。</w:t>
      </w:r>
    </w:p>
    <w:p>
      <w:pPr>
        <w:numPr>
          <w:ilvl w:val="0"/>
          <w:numId w:val="10"/>
        </w:numPr>
        <w:tabs>
          <w:tab w:val="left" w:pos="1050"/>
        </w:tabs>
        <w:spacing w:line="360" w:lineRule="auto"/>
        <w:ind w:left="0" w:firstLine="640"/>
        <w:rPr>
          <w:sz w:val="24"/>
        </w:rPr>
      </w:pPr>
      <w:r>
        <w:rPr>
          <w:rFonts w:hint="eastAsia"/>
          <w:sz w:val="24"/>
        </w:rPr>
        <w:t>中标：得分最高者中标。</w:t>
      </w:r>
    </w:p>
    <w:p>
      <w:pPr>
        <w:tabs>
          <w:tab w:val="left" w:pos="1050"/>
        </w:tabs>
        <w:spacing w:line="360" w:lineRule="auto"/>
        <w:ind w:left="640"/>
        <w:rPr>
          <w:sz w:val="24"/>
        </w:rPr>
      </w:pPr>
    </w:p>
    <w:p>
      <w:pPr>
        <w:spacing w:line="360" w:lineRule="auto"/>
        <w:jc w:val="center"/>
        <w:rPr>
          <w:b/>
          <w:bCs/>
          <w:sz w:val="24"/>
        </w:rPr>
      </w:pPr>
      <w:r>
        <w:rPr>
          <w:rFonts w:hint="eastAsia"/>
          <w:b/>
          <w:bCs/>
          <w:sz w:val="24"/>
        </w:rPr>
        <w:t>九、合同授予</w:t>
      </w:r>
    </w:p>
    <w:p>
      <w:pPr>
        <w:spacing w:line="360" w:lineRule="auto"/>
        <w:ind w:firstLine="560"/>
        <w:rPr>
          <w:sz w:val="24"/>
        </w:rPr>
      </w:pPr>
      <w:r>
        <w:rPr>
          <w:rFonts w:hint="eastAsia"/>
          <w:sz w:val="24"/>
        </w:rPr>
        <w:t>（一）中标通知书</w:t>
      </w:r>
    </w:p>
    <w:p>
      <w:pPr>
        <w:numPr>
          <w:ilvl w:val="0"/>
          <w:numId w:val="11"/>
        </w:numPr>
        <w:tabs>
          <w:tab w:val="left" w:pos="1050"/>
        </w:tabs>
        <w:spacing w:line="360" w:lineRule="auto"/>
        <w:ind w:left="0" w:firstLine="640"/>
        <w:rPr>
          <w:sz w:val="24"/>
        </w:rPr>
      </w:pPr>
      <w:r>
        <w:rPr>
          <w:rFonts w:hint="eastAsia"/>
          <w:sz w:val="24"/>
        </w:rPr>
        <w:t xml:space="preserve">中标公告公布以后，公示期内无人提出异议，将发布中标通知书。中标公告由招标人在信息发布网站上发布。中标公告一经上网发布，即视为送达各投标人。中标人应尽快领取中标通知书，未及时领取造成采购工作延误的责任自负。 </w:t>
      </w:r>
    </w:p>
    <w:p>
      <w:pPr>
        <w:numPr>
          <w:ilvl w:val="0"/>
          <w:numId w:val="11"/>
        </w:numPr>
        <w:tabs>
          <w:tab w:val="left" w:pos="1050"/>
        </w:tabs>
        <w:spacing w:line="360" w:lineRule="auto"/>
        <w:ind w:left="0" w:firstLine="640"/>
        <w:rPr>
          <w:sz w:val="24"/>
        </w:rPr>
      </w:pPr>
      <w:r>
        <w:rPr>
          <w:rFonts w:hint="eastAsia"/>
          <w:sz w:val="24"/>
        </w:rPr>
        <w:t>中标通知书是合同的重要组成部分。</w:t>
      </w:r>
    </w:p>
    <w:p>
      <w:pPr>
        <w:spacing w:line="360" w:lineRule="auto"/>
        <w:ind w:firstLine="560"/>
        <w:rPr>
          <w:sz w:val="24"/>
        </w:rPr>
      </w:pPr>
      <w:bookmarkStart w:id="4" w:name="_Toc476"/>
      <w:r>
        <w:rPr>
          <w:rFonts w:hint="eastAsia"/>
          <w:sz w:val="24"/>
        </w:rPr>
        <w:t>（二）签订合同</w:t>
      </w:r>
      <w:bookmarkEnd w:id="4"/>
    </w:p>
    <w:p>
      <w:pPr>
        <w:numPr>
          <w:ilvl w:val="0"/>
          <w:numId w:val="12"/>
        </w:numPr>
        <w:tabs>
          <w:tab w:val="left" w:pos="1050"/>
        </w:tabs>
        <w:spacing w:line="360" w:lineRule="auto"/>
        <w:ind w:left="0" w:firstLine="640"/>
        <w:rPr>
          <w:sz w:val="24"/>
        </w:rPr>
      </w:pPr>
      <w:r>
        <w:rPr>
          <w:rFonts w:hint="eastAsia"/>
          <w:sz w:val="24"/>
        </w:rPr>
        <w:t xml:space="preserve"> 中标人在收到中标通知书和合同格式后三个工作日内，应派授权代表到采购人所在地与采购人签订合同。</w:t>
      </w:r>
    </w:p>
    <w:p>
      <w:pPr>
        <w:numPr>
          <w:ilvl w:val="0"/>
          <w:numId w:val="12"/>
        </w:numPr>
        <w:tabs>
          <w:tab w:val="left" w:pos="1050"/>
        </w:tabs>
        <w:spacing w:line="360" w:lineRule="auto"/>
        <w:ind w:left="0" w:firstLine="640"/>
        <w:rPr>
          <w:sz w:val="24"/>
        </w:rPr>
      </w:pPr>
      <w:r>
        <w:rPr>
          <w:rFonts w:hint="eastAsia"/>
          <w:sz w:val="24"/>
        </w:rPr>
        <w:t>招标文件、中标方的投标文件及其澄清、修改文件等，均为签订合同的依据。</w:t>
      </w:r>
    </w:p>
    <w:p/>
    <w:p/>
    <w:p>
      <w:pPr>
        <w:spacing w:line="360" w:lineRule="auto"/>
        <w:rPr>
          <w:sz w:val="24"/>
        </w:rPr>
      </w:pPr>
      <w:r>
        <w:rPr>
          <w:rFonts w:hint="eastAsia"/>
          <w:sz w:val="24"/>
        </w:rPr>
        <w:t>附件：</w:t>
      </w:r>
    </w:p>
    <w:p>
      <w:pPr>
        <w:spacing w:line="360" w:lineRule="auto"/>
        <w:jc w:val="center"/>
        <w:rPr>
          <w:rFonts w:ascii="黑体" w:hAnsi="黑体" w:eastAsia="黑体" w:cs="黑体"/>
          <w:sz w:val="24"/>
        </w:rPr>
      </w:pPr>
      <w:r>
        <w:rPr>
          <w:rFonts w:hint="eastAsia" w:ascii="黑体" w:hAnsi="黑体" w:eastAsia="黑体" w:cs="黑体"/>
          <w:sz w:val="24"/>
          <w:u w:val="single"/>
        </w:rPr>
        <w:t>秘书处薪酬绩效改革调研服务项目</w:t>
      </w:r>
      <w:r>
        <w:rPr>
          <w:rFonts w:hint="eastAsia" w:ascii="黑体" w:hAnsi="黑体" w:eastAsia="黑体" w:cs="黑体"/>
          <w:sz w:val="24"/>
        </w:rPr>
        <w:t>委托合同</w:t>
      </w:r>
    </w:p>
    <w:p>
      <w:pPr>
        <w:spacing w:line="360" w:lineRule="auto"/>
        <w:jc w:val="left"/>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b/>
          <w:sz w:val="24"/>
        </w:rPr>
        <w:t>委托方（甲方）：</w:t>
      </w:r>
      <w:r>
        <w:rPr>
          <w:rFonts w:hint="eastAsia" w:ascii="仿宋" w:hAnsi="仿宋" w:eastAsia="仿宋" w:cs="仿宋"/>
          <w:b/>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住所：</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联系电话：</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b/>
          <w:sz w:val="24"/>
        </w:rPr>
        <w:t>受托方（乙方）：</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住所：</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联系电话：</w:t>
      </w:r>
      <w:r>
        <w:rPr>
          <w:rFonts w:hint="eastAsia" w:ascii="仿宋" w:hAnsi="仿宋" w:eastAsia="仿宋" w:cs="仿宋"/>
          <w:sz w:val="24"/>
          <w:u w:val="single"/>
        </w:rPr>
        <w:t xml:space="preserve">                                  </w:t>
      </w:r>
    </w:p>
    <w:p>
      <w:pPr>
        <w:spacing w:line="360" w:lineRule="auto"/>
        <w:jc w:val="left"/>
        <w:rPr>
          <w:rFonts w:ascii="仿宋" w:hAnsi="仿宋" w:eastAsia="仿宋" w:cs="仿宋"/>
          <w:sz w:val="24"/>
        </w:rPr>
      </w:pPr>
    </w:p>
    <w:p>
      <w:pPr>
        <w:autoSpaceDE w:val="0"/>
        <w:autoSpaceDN w:val="0"/>
        <w:adjustRightInd w:val="0"/>
        <w:spacing w:line="600" w:lineRule="exact"/>
        <w:ind w:firstLine="480" w:firstLineChars="200"/>
        <w:rPr>
          <w:rFonts w:ascii="仿宋" w:hAnsi="仿宋" w:eastAsia="仿宋" w:cs="仿宋"/>
          <w:sz w:val="24"/>
        </w:rPr>
      </w:pPr>
      <w:r>
        <w:rPr>
          <w:rFonts w:hint="eastAsia" w:ascii="仿宋" w:hAnsi="仿宋" w:eastAsia="仿宋" w:cs="仿宋"/>
          <w:sz w:val="24"/>
        </w:rPr>
        <w:t>甲方委托乙方实施</w:t>
      </w:r>
      <w:r>
        <w:rPr>
          <w:rFonts w:hint="eastAsia" w:ascii="仿宋" w:hAnsi="仿宋" w:eastAsia="仿宋" w:cs="仿宋"/>
          <w:sz w:val="24"/>
          <w:u w:val="single"/>
        </w:rPr>
        <w:t xml:space="preserve">      </w:t>
      </w:r>
      <w:r>
        <w:rPr>
          <w:rFonts w:hint="eastAsia" w:ascii="仿宋" w:hAnsi="仿宋" w:eastAsia="仿宋" w:cs="仿宋"/>
          <w:sz w:val="24"/>
        </w:rPr>
        <w:t>，根据《中华人民共和国民法典》等有关法律规定，双方本着平等、自愿原则，经友好协商，就实施委托事项签订本合同。</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项目内容</w:t>
      </w:r>
    </w:p>
    <w:p>
      <w:pPr>
        <w:numPr>
          <w:ilvl w:val="0"/>
          <w:numId w:val="14"/>
        </w:num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p>
      <w:pPr>
        <w:numPr>
          <w:ilvl w:val="0"/>
          <w:numId w:val="14"/>
        </w:numPr>
        <w:spacing w:line="360" w:lineRule="auto"/>
        <w:ind w:firstLine="480" w:firstLineChars="200"/>
        <w:jc w:val="left"/>
        <w:rPr>
          <w:rFonts w:ascii="仿宋" w:hAnsi="仿宋" w:eastAsia="仿宋" w:cs="仿宋"/>
          <w:sz w:val="24"/>
        </w:rPr>
      </w:pPr>
      <w:r>
        <w:rPr>
          <w:rFonts w:hint="eastAsia" w:ascii="仿宋" w:hAnsi="仿宋" w:eastAsia="仿宋" w:cs="仿宋"/>
          <w:sz w:val="24"/>
        </w:rPr>
        <w:t>项目内容及实施阶段：</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项目内容：在合同约定的期限内</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日，按委托单位的要求，完成深圳市律师协会秘书处薪酬绩效改革方案调研论证工作。</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项目实施预计进度安排：1.</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日，组织开展相关调研；2.</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 根据研究和调研形成调研报告，组织专家讨论，整理定稿；3.</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日前，项目验收。</w:t>
      </w:r>
    </w:p>
    <w:p>
      <w:pPr>
        <w:numPr>
          <w:ilvl w:val="0"/>
          <w:numId w:val="14"/>
        </w:numPr>
        <w:spacing w:line="360" w:lineRule="auto"/>
        <w:ind w:firstLine="480" w:firstLineChars="200"/>
        <w:jc w:val="left"/>
        <w:rPr>
          <w:rFonts w:ascii="仿宋" w:hAnsi="仿宋" w:eastAsia="仿宋" w:cs="仿宋"/>
          <w:sz w:val="24"/>
        </w:rPr>
      </w:pPr>
      <w:r>
        <w:rPr>
          <w:rFonts w:hint="eastAsia" w:ascii="仿宋" w:hAnsi="仿宋" w:eastAsia="仿宋" w:cs="仿宋"/>
          <w:sz w:val="24"/>
        </w:rPr>
        <w:t>乙方应于合同生效后三日内向甲方提交项目具体实施方案，实施方案应包括但不限于研究和调研提纲、拟调研部门等，经甲方同意后实施。</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委托期限</w:t>
      </w:r>
    </w:p>
    <w:p>
      <w:pPr>
        <w:numPr>
          <w:ilvl w:val="0"/>
          <w:numId w:val="15"/>
        </w:numPr>
        <w:spacing w:line="360" w:lineRule="auto"/>
        <w:ind w:firstLine="480" w:firstLineChars="200"/>
        <w:jc w:val="left"/>
        <w:rPr>
          <w:rFonts w:ascii="仿宋" w:hAnsi="仿宋" w:eastAsia="仿宋" w:cs="仿宋"/>
          <w:sz w:val="24"/>
        </w:rPr>
      </w:pPr>
      <w:r>
        <w:rPr>
          <w:rFonts w:hint="eastAsia" w:ascii="仿宋" w:hAnsi="仿宋" w:eastAsia="仿宋" w:cs="仿宋"/>
          <w:sz w:val="24"/>
        </w:rPr>
        <w:t>乙方应于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日前完成项目任务，并将项目成果交付给甲方验收。</w:t>
      </w:r>
    </w:p>
    <w:p>
      <w:pPr>
        <w:numPr>
          <w:ilvl w:val="0"/>
          <w:numId w:val="15"/>
        </w:numPr>
        <w:spacing w:line="360" w:lineRule="auto"/>
        <w:ind w:firstLine="480" w:firstLineChars="200"/>
        <w:jc w:val="left"/>
        <w:rPr>
          <w:rFonts w:ascii="仿宋" w:hAnsi="仿宋" w:eastAsia="仿宋" w:cs="仿宋"/>
          <w:sz w:val="24"/>
        </w:rPr>
      </w:pPr>
      <w:r>
        <w:rPr>
          <w:rFonts w:hint="eastAsia" w:ascii="仿宋" w:hAnsi="仿宋" w:eastAsia="仿宋" w:cs="仿宋"/>
          <w:sz w:val="24"/>
        </w:rPr>
        <w:t>因乙方交付成果未通过验收而进行整改的，也应在上述日期之前完成。</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乙方人员配置</w:t>
      </w:r>
    </w:p>
    <w:p>
      <w:pPr>
        <w:numPr>
          <w:ilvl w:val="0"/>
          <w:numId w:val="16"/>
        </w:numPr>
        <w:spacing w:line="360" w:lineRule="auto"/>
        <w:ind w:firstLine="480" w:firstLineChars="200"/>
        <w:jc w:val="left"/>
        <w:rPr>
          <w:rFonts w:ascii="仿宋" w:hAnsi="仿宋" w:eastAsia="仿宋" w:cs="仿宋"/>
          <w:sz w:val="24"/>
        </w:rPr>
      </w:pPr>
      <w:r>
        <w:rPr>
          <w:rFonts w:hint="eastAsia" w:ascii="仿宋" w:hAnsi="仿宋" w:eastAsia="仿宋" w:cs="仿宋"/>
          <w:sz w:val="24"/>
        </w:rPr>
        <w:t>为实施本项目，乙方指定</w:t>
      </w:r>
      <w:r>
        <w:rPr>
          <w:rFonts w:hint="eastAsia" w:ascii="仿宋" w:hAnsi="仿宋" w:eastAsia="仿宋" w:cs="仿宋"/>
          <w:sz w:val="24"/>
          <w:u w:val="single"/>
        </w:rPr>
        <w:t xml:space="preserve">     </w:t>
      </w:r>
      <w:r>
        <w:rPr>
          <w:rFonts w:hint="eastAsia" w:ascii="仿宋" w:hAnsi="仿宋" w:eastAsia="仿宋" w:cs="仿宋"/>
          <w:sz w:val="24"/>
        </w:rPr>
        <w:t>为项目对接人。乙方应配备项目工作人员  名。其中：</w:t>
      </w:r>
      <w:r>
        <w:rPr>
          <w:rFonts w:hint="eastAsia" w:ascii="仿宋" w:hAnsi="仿宋" w:eastAsia="仿宋" w:cs="仿宋"/>
          <w:sz w:val="24"/>
          <w:u w:val="single"/>
        </w:rPr>
        <w:t xml:space="preserve">    （人员姓名及职称）</w:t>
      </w:r>
      <w:r>
        <w:rPr>
          <w:rFonts w:hint="eastAsia" w:ascii="仿宋" w:hAnsi="仿宋" w:eastAsia="仿宋" w:cs="仿宋"/>
          <w:sz w:val="24"/>
        </w:rPr>
        <w:t xml:space="preserve">。 </w:t>
      </w:r>
    </w:p>
    <w:p>
      <w:pPr>
        <w:numPr>
          <w:ilvl w:val="0"/>
          <w:numId w:val="16"/>
        </w:numPr>
        <w:spacing w:line="360" w:lineRule="auto"/>
        <w:ind w:firstLine="480" w:firstLineChars="200"/>
        <w:jc w:val="left"/>
        <w:rPr>
          <w:rFonts w:ascii="仿宋" w:hAnsi="仿宋" w:eastAsia="仿宋" w:cs="仿宋"/>
          <w:sz w:val="24"/>
        </w:rPr>
      </w:pPr>
      <w:r>
        <w:rPr>
          <w:rFonts w:hint="eastAsia" w:ascii="仿宋" w:hAnsi="仿宋" w:eastAsia="仿宋" w:cs="仿宋"/>
          <w:sz w:val="24"/>
        </w:rPr>
        <w:t>乙方保证上述工作人员信息的真实性。未经甲方同意，乙方不得更换工作人员，并对工作人员在工作中的行为承担最终法律责任。</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委托费用及支付</w:t>
      </w:r>
    </w:p>
    <w:p>
      <w:pPr>
        <w:numPr>
          <w:ilvl w:val="0"/>
          <w:numId w:val="17"/>
        </w:num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甲方就委托事项向乙方支付的费用总额为人民币</w:t>
      </w:r>
      <w:r>
        <w:rPr>
          <w:rFonts w:hint="eastAsia" w:ascii="仿宋" w:hAnsi="仿宋" w:eastAsia="仿宋" w:cs="仿宋"/>
          <w:sz w:val="24"/>
          <w:u w:val="single"/>
        </w:rPr>
        <w:t xml:space="preserve">    （小写： 元） </w:t>
      </w:r>
      <w:r>
        <w:rPr>
          <w:rFonts w:hint="eastAsia" w:ascii="仿宋" w:hAnsi="仿宋" w:eastAsia="仿宋" w:cs="仿宋"/>
          <w:sz w:val="24"/>
        </w:rPr>
        <w:t>，该费用包含但不限于乙方所承担的税费、工作人员和专家报酬、场地使用费、印刷费、耗材费、差旅费以及合理的利润等。除经协商一致变更本合同外，甲方无需再向乙方支付任何款项。</w:t>
      </w:r>
    </w:p>
    <w:p>
      <w:pPr>
        <w:numPr>
          <w:ilvl w:val="0"/>
          <w:numId w:val="17"/>
        </w:numPr>
        <w:spacing w:line="360" w:lineRule="auto"/>
        <w:ind w:firstLine="480" w:firstLineChars="200"/>
        <w:jc w:val="left"/>
        <w:rPr>
          <w:rFonts w:ascii="仿宋" w:hAnsi="仿宋" w:eastAsia="仿宋" w:cs="仿宋"/>
          <w:sz w:val="24"/>
        </w:rPr>
      </w:pPr>
      <w:r>
        <w:rPr>
          <w:rFonts w:hint="eastAsia" w:ascii="仿宋" w:hAnsi="仿宋" w:eastAsia="仿宋" w:cs="仿宋"/>
          <w:sz w:val="24"/>
        </w:rPr>
        <w:t>本合同按以下要求付款：</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本合同签订后且乙方提供符合规定的发票后</w:t>
      </w:r>
      <w:r>
        <w:rPr>
          <w:rFonts w:hint="eastAsia" w:ascii="仿宋" w:hAnsi="仿宋" w:eastAsia="仿宋" w:cs="仿宋"/>
          <w:sz w:val="24"/>
          <w:u w:val="single"/>
        </w:rPr>
        <w:t xml:space="preserve">     </w:t>
      </w:r>
      <w:r>
        <w:rPr>
          <w:rFonts w:hint="eastAsia" w:ascii="仿宋" w:hAnsi="仿宋" w:eastAsia="仿宋" w:cs="仿宋"/>
          <w:sz w:val="24"/>
        </w:rPr>
        <w:t>个工作日内，甲方向乙方支付合同总额的</w:t>
      </w:r>
      <w:r>
        <w:rPr>
          <w:rFonts w:hint="eastAsia" w:ascii="仿宋" w:hAnsi="仿宋" w:eastAsia="仿宋" w:cs="仿宋"/>
          <w:sz w:val="24"/>
          <w:u w:val="single"/>
        </w:rPr>
        <w:t xml:space="preserve">      </w:t>
      </w:r>
      <w:r>
        <w:rPr>
          <w:rFonts w:hint="eastAsia" w:ascii="仿宋" w:hAnsi="仿宋" w:eastAsia="仿宋" w:cs="仿宋"/>
          <w:sz w:val="24"/>
        </w:rPr>
        <w:t>%，即人民币</w:t>
      </w:r>
      <w:r>
        <w:rPr>
          <w:rFonts w:hint="eastAsia" w:ascii="仿宋" w:hAnsi="仿宋" w:eastAsia="仿宋" w:cs="仿宋"/>
          <w:sz w:val="24"/>
          <w:u w:val="single"/>
        </w:rPr>
        <w:t xml:space="preserve">  元</w:t>
      </w:r>
      <w:r>
        <w:rPr>
          <w:rFonts w:hint="eastAsia" w:ascii="仿宋" w:hAnsi="仿宋" w:eastAsia="仿宋" w:cs="仿宋"/>
          <w:sz w:val="24"/>
        </w:rPr>
        <w:t>（小写：</w:t>
      </w:r>
      <w:r>
        <w:rPr>
          <w:rFonts w:hint="eastAsia" w:ascii="仿宋" w:hAnsi="仿宋" w:eastAsia="仿宋" w:cs="仿宋"/>
          <w:sz w:val="24"/>
          <w:u w:val="single"/>
        </w:rPr>
        <w:t xml:space="preserve">    元</w:t>
      </w:r>
      <w:r>
        <w:rPr>
          <w:rFonts w:hint="eastAsia" w:ascii="仿宋" w:hAnsi="仿宋" w:eastAsia="仿宋" w:cs="仿宋"/>
          <w:sz w:val="24"/>
        </w:rPr>
        <w:t>）；项目成果经甲方验收合格且乙方提供符合规定的发票后</w:t>
      </w:r>
      <w:r>
        <w:rPr>
          <w:rFonts w:hint="eastAsia" w:ascii="仿宋" w:hAnsi="仿宋" w:eastAsia="仿宋" w:cs="仿宋"/>
          <w:sz w:val="24"/>
          <w:u w:val="single"/>
        </w:rPr>
        <w:t xml:space="preserve">     </w:t>
      </w:r>
      <w:r>
        <w:rPr>
          <w:rFonts w:hint="eastAsia" w:ascii="仿宋" w:hAnsi="仿宋" w:eastAsia="仿宋" w:cs="仿宋"/>
          <w:sz w:val="24"/>
        </w:rPr>
        <w:t>个工作日内，甲方向乙方支付合同总额的</w:t>
      </w:r>
      <w:r>
        <w:rPr>
          <w:rFonts w:hint="eastAsia" w:ascii="仿宋" w:hAnsi="仿宋" w:eastAsia="仿宋" w:cs="仿宋"/>
          <w:sz w:val="24"/>
          <w:u w:val="single"/>
        </w:rPr>
        <w:t xml:space="preserve">    </w:t>
      </w:r>
      <w:r>
        <w:rPr>
          <w:rFonts w:hint="eastAsia" w:ascii="仿宋" w:hAnsi="仿宋" w:eastAsia="仿宋" w:cs="仿宋"/>
          <w:sz w:val="24"/>
        </w:rPr>
        <w:t>%，即人民币</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万</w:t>
      </w:r>
      <w:r>
        <w:rPr>
          <w:rFonts w:hint="eastAsia" w:ascii="仿宋" w:hAnsi="仿宋" w:eastAsia="仿宋" w:cs="仿宋"/>
          <w:sz w:val="24"/>
        </w:rPr>
        <w:t>元（小写：</w:t>
      </w:r>
      <w:r>
        <w:rPr>
          <w:rFonts w:hint="eastAsia" w:ascii="仿宋" w:hAnsi="仿宋" w:eastAsia="仿宋" w:cs="仿宋"/>
          <w:sz w:val="24"/>
          <w:u w:val="single"/>
        </w:rPr>
        <w:t xml:space="preserve">       </w:t>
      </w:r>
      <w:r>
        <w:rPr>
          <w:rFonts w:hint="eastAsia" w:ascii="仿宋" w:hAnsi="仿宋" w:eastAsia="仿宋" w:cs="仿宋"/>
          <w:sz w:val="24"/>
        </w:rPr>
        <w:t>）。</w:t>
      </w:r>
    </w:p>
    <w:p>
      <w:pPr>
        <w:numPr>
          <w:ilvl w:val="0"/>
          <w:numId w:val="18"/>
        </w:numPr>
        <w:spacing w:line="360" w:lineRule="auto"/>
        <w:ind w:firstLine="480" w:firstLineChars="200"/>
        <w:jc w:val="left"/>
        <w:rPr>
          <w:rFonts w:ascii="仿宋" w:hAnsi="仿宋" w:eastAsia="仿宋" w:cs="仿宋"/>
          <w:sz w:val="24"/>
        </w:rPr>
      </w:pPr>
      <w:r>
        <w:rPr>
          <w:rFonts w:hint="eastAsia" w:ascii="仿宋" w:hAnsi="仿宋" w:eastAsia="仿宋" w:cs="仿宋"/>
          <w:sz w:val="24"/>
        </w:rPr>
        <w:t>乙方银行账户信息：</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开户名：</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开户行：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账号： </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履约保函</w:t>
      </w:r>
    </w:p>
    <w:p>
      <w:pPr>
        <w:spacing w:line="300" w:lineRule="auto"/>
        <w:ind w:left="567"/>
        <w:rPr>
          <w:rFonts w:ascii="仿宋" w:hAnsi="仿宋" w:eastAsia="仿宋" w:cs="仿宋"/>
          <w:sz w:val="24"/>
        </w:rPr>
      </w:pPr>
      <w:r>
        <w:rPr>
          <w:rFonts w:hint="eastAsia" w:ascii="仿宋" w:hAnsi="仿宋" w:eastAsia="仿宋" w:cs="仿宋"/>
          <w:sz w:val="24"/>
        </w:rPr>
        <w:t>本合同：</w:t>
      </w:r>
    </w:p>
    <w:p>
      <w:pPr>
        <w:spacing w:line="300" w:lineRule="auto"/>
        <w:ind w:left="567"/>
        <w:rPr>
          <w:rFonts w:ascii="仿宋" w:hAnsi="仿宋" w:eastAsia="仿宋" w:cs="仿宋"/>
          <w:sz w:val="24"/>
        </w:rPr>
      </w:pPr>
      <w:r>
        <w:rPr>
          <w:rFonts w:hint="eastAsia" w:ascii="仿宋" w:hAnsi="仿宋" w:eastAsia="仿宋" w:cs="仿宋"/>
          <w:sz w:val="24"/>
        </w:rPr>
        <w:t>□无履约保函。</w:t>
      </w:r>
    </w:p>
    <w:p>
      <w:pPr>
        <w:spacing w:line="300" w:lineRule="auto"/>
        <w:ind w:firstLine="480" w:firstLineChars="200"/>
        <w:rPr>
          <w:rFonts w:ascii="仿宋" w:hAnsi="仿宋" w:eastAsia="仿宋" w:cs="仿宋"/>
          <w:sz w:val="24"/>
        </w:rPr>
      </w:pPr>
      <w:r>
        <w:rPr>
          <w:rFonts w:hint="eastAsia" w:ascii="仿宋" w:hAnsi="仿宋" w:eastAsia="仿宋" w:cs="仿宋"/>
          <w:sz w:val="24"/>
        </w:rPr>
        <w:t>□有履约保函。乙方应于合同签订后</w:t>
      </w:r>
      <w:r>
        <w:rPr>
          <w:rFonts w:hint="eastAsia" w:ascii="仿宋" w:hAnsi="仿宋" w:eastAsia="仿宋" w:cs="仿宋"/>
          <w:sz w:val="24"/>
          <w:u w:val="single"/>
        </w:rPr>
        <w:t xml:space="preserve">    </w:t>
      </w:r>
      <w:r>
        <w:rPr>
          <w:rFonts w:hint="eastAsia" w:ascii="仿宋" w:hAnsi="仿宋" w:eastAsia="仿宋" w:cs="仿宋"/>
          <w:sz w:val="24"/>
        </w:rPr>
        <w:t>日内向甲方提供银行出具的不可撤销履约保函。在乙方承担支付义务或者赔偿责任时，甲方有权要求银行无条件支付款项。保函的具体要求由双方另行确定。</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成果及验收</w:t>
      </w:r>
    </w:p>
    <w:p>
      <w:pPr>
        <w:numPr>
          <w:ilvl w:val="0"/>
          <w:numId w:val="19"/>
        </w:numPr>
        <w:spacing w:line="360" w:lineRule="auto"/>
        <w:ind w:firstLine="480" w:firstLineChars="200"/>
        <w:jc w:val="left"/>
        <w:rPr>
          <w:rFonts w:ascii="仿宋" w:hAnsi="仿宋" w:eastAsia="仿宋" w:cs="仿宋"/>
          <w:bCs/>
          <w:sz w:val="24"/>
          <w:u w:val="single"/>
        </w:rPr>
      </w:pPr>
      <w:r>
        <w:rPr>
          <w:rFonts w:hint="eastAsia" w:ascii="仿宋" w:hAnsi="仿宋" w:eastAsia="仿宋" w:cs="仿宋"/>
          <w:bCs/>
          <w:sz w:val="24"/>
        </w:rPr>
        <w:t>项目完成后，乙方应向甲方交付以下成果供甲方验收：</w:t>
      </w:r>
      <w:r>
        <w:rPr>
          <w:rFonts w:hint="eastAsia" w:ascii="仿宋" w:hAnsi="仿宋" w:eastAsia="仿宋" w:cs="仿宋"/>
          <w:bCs/>
          <w:sz w:val="24"/>
          <w:u w:val="single"/>
        </w:rPr>
        <w:t xml:space="preserve">   。</w:t>
      </w:r>
    </w:p>
    <w:p>
      <w:pPr>
        <w:numPr>
          <w:ilvl w:val="0"/>
          <w:numId w:val="19"/>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就上述</w:t>
      </w:r>
      <w:r>
        <w:rPr>
          <w:rFonts w:hint="eastAsia" w:ascii="仿宋" w:hAnsi="仿宋" w:eastAsia="仿宋" w:cs="仿宋"/>
          <w:bCs/>
          <w:sz w:val="24"/>
          <w:u w:val="single"/>
        </w:rPr>
        <w:t xml:space="preserve">   </w:t>
      </w:r>
      <w:r>
        <w:rPr>
          <w:rFonts w:hint="eastAsia" w:ascii="仿宋" w:hAnsi="仿宋" w:eastAsia="仿宋" w:cs="仿宋"/>
          <w:bCs/>
          <w:sz w:val="24"/>
        </w:rPr>
        <w:t>成果，乙方应提交纸质形式</w:t>
      </w:r>
      <w:r>
        <w:rPr>
          <w:rFonts w:hint="eastAsia" w:ascii="仿宋" w:hAnsi="仿宋" w:eastAsia="仿宋" w:cs="仿宋"/>
          <w:bCs/>
          <w:sz w:val="24"/>
          <w:u w:val="single"/>
        </w:rPr>
        <w:t xml:space="preserve">   </w:t>
      </w:r>
      <w:r>
        <w:rPr>
          <w:rFonts w:hint="eastAsia" w:ascii="仿宋" w:hAnsi="仿宋" w:eastAsia="仿宋" w:cs="仿宋"/>
          <w:bCs/>
          <w:sz w:val="24"/>
        </w:rPr>
        <w:t>套，电子形式</w:t>
      </w:r>
      <w:r>
        <w:rPr>
          <w:rFonts w:hint="eastAsia" w:ascii="仿宋" w:hAnsi="仿宋" w:eastAsia="仿宋" w:cs="仿宋"/>
          <w:bCs/>
          <w:sz w:val="24"/>
          <w:u w:val="single"/>
        </w:rPr>
        <w:t xml:space="preserve">    </w:t>
      </w:r>
      <w:r>
        <w:rPr>
          <w:rFonts w:hint="eastAsia" w:ascii="仿宋" w:hAnsi="仿宋" w:eastAsia="仿宋" w:cs="仿宋"/>
          <w:bCs/>
          <w:sz w:val="24"/>
        </w:rPr>
        <w:t>套。</w:t>
      </w:r>
    </w:p>
    <w:p>
      <w:pPr>
        <w:numPr>
          <w:ilvl w:val="0"/>
          <w:numId w:val="19"/>
        </w:numPr>
        <w:spacing w:line="360" w:lineRule="auto"/>
        <w:ind w:firstLine="480" w:firstLineChars="200"/>
        <w:jc w:val="left"/>
        <w:rPr>
          <w:rFonts w:ascii="仿宋" w:hAnsi="仿宋" w:eastAsia="仿宋" w:cs="仿宋"/>
          <w:bCs/>
          <w:sz w:val="24"/>
          <w:u w:val="single"/>
        </w:rPr>
      </w:pPr>
      <w:r>
        <w:rPr>
          <w:rFonts w:hint="eastAsia" w:ascii="仿宋" w:hAnsi="仿宋" w:eastAsia="仿宋" w:cs="仿宋"/>
          <w:bCs/>
          <w:sz w:val="24"/>
        </w:rPr>
        <w:t>乙方提交的成果未验收合格的，乙方应在五日内进行整改，超出完成期限的，视为违约。</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知识产权</w:t>
      </w:r>
    </w:p>
    <w:p>
      <w:pPr>
        <w:numPr>
          <w:ilvl w:val="0"/>
          <w:numId w:val="20"/>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乙方在项目实施过程中不得侵犯第三人知识产权以及其他权益。需要使用第三人知识产权的，乙方应取得权利人许可或者授权并由乙方承担费用。</w:t>
      </w:r>
    </w:p>
    <w:p>
      <w:pPr>
        <w:numPr>
          <w:ilvl w:val="0"/>
          <w:numId w:val="20"/>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除第三人依法享有知识产权的除外，乙方实施本项目所形成成果的知识产权归甲方所有，未经甲方许可，乙方不得随意使用。</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保密义务</w:t>
      </w:r>
    </w:p>
    <w:p>
      <w:pPr>
        <w:numPr>
          <w:ilvl w:val="0"/>
          <w:numId w:val="21"/>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甲乙双方对知悉对方的财务数据、合同价款、未披露的政策、诉讼方案以及为实施项目提供给对方的第三方的商业秘密等负有保密义务。</w:t>
      </w:r>
    </w:p>
    <w:p>
      <w:pPr>
        <w:numPr>
          <w:ilvl w:val="0"/>
          <w:numId w:val="21"/>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合同履行完毕或者终止不视为解除保密义务，双方仍应承担保密义务。</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其他权利和义务</w:t>
      </w:r>
    </w:p>
    <w:p>
      <w:pPr>
        <w:numPr>
          <w:ilvl w:val="0"/>
          <w:numId w:val="22"/>
        </w:numPr>
        <w:spacing w:line="360" w:lineRule="auto"/>
        <w:ind w:firstLine="480" w:firstLineChars="200"/>
        <w:jc w:val="left"/>
        <w:rPr>
          <w:rFonts w:ascii="仿宋" w:hAnsi="仿宋" w:eastAsia="仿宋" w:cs="仿宋"/>
          <w:sz w:val="24"/>
        </w:rPr>
      </w:pPr>
      <w:r>
        <w:rPr>
          <w:rFonts w:hint="eastAsia" w:ascii="仿宋" w:hAnsi="仿宋" w:eastAsia="仿宋" w:cs="仿宋"/>
          <w:sz w:val="24"/>
        </w:rPr>
        <w:t>甲方有权监督、检查、了解乙方工作开展情况，并有权对乙方的工作提出建议。</w:t>
      </w:r>
    </w:p>
    <w:p>
      <w:pPr>
        <w:numPr>
          <w:ilvl w:val="0"/>
          <w:numId w:val="22"/>
        </w:numPr>
        <w:spacing w:line="360" w:lineRule="auto"/>
        <w:ind w:firstLine="480" w:firstLineChars="200"/>
        <w:jc w:val="left"/>
        <w:rPr>
          <w:rFonts w:ascii="仿宋" w:hAnsi="仿宋" w:eastAsia="仿宋" w:cs="仿宋"/>
          <w:sz w:val="24"/>
        </w:rPr>
      </w:pPr>
      <w:r>
        <w:rPr>
          <w:rFonts w:hint="eastAsia" w:ascii="仿宋" w:hAnsi="仿宋" w:eastAsia="仿宋" w:cs="仿宋"/>
          <w:sz w:val="24"/>
        </w:rPr>
        <w:t>甲方应当配合乙方实施本项目，提供实施项目必要的有关资料。</w:t>
      </w:r>
    </w:p>
    <w:p>
      <w:pPr>
        <w:numPr>
          <w:ilvl w:val="0"/>
          <w:numId w:val="22"/>
        </w:num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如乙方需前往其他地区律师协会进行相关调研，甲方应予以协助。                                                                                                                                                                      </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合同转让</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未经甲方同意，乙方不得将本合同项目的任务全部或者一部分转委托给第三人。</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违约责任</w:t>
      </w:r>
    </w:p>
    <w:p>
      <w:pPr>
        <w:numPr>
          <w:ilvl w:val="0"/>
          <w:numId w:val="23"/>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乙方未在约定期限内完成项目内容并提交成果的，每延迟一日按照合同总金额千分之一的标准向甲方支付违约金。延迟超过十日的，甲方有权解除合同并要求乙方返还已经支付的款项，未支付的不再支付。</w:t>
      </w:r>
    </w:p>
    <w:p>
      <w:pPr>
        <w:numPr>
          <w:ilvl w:val="0"/>
          <w:numId w:val="23"/>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乙方交付的成果验收不合格的，经甲方要求整改，再次验收仍不合格的，甲方有权解除合同、要求乙方返还已经支付的款项并支付合同总额20%的违约金。</w:t>
      </w:r>
    </w:p>
    <w:p>
      <w:pPr>
        <w:numPr>
          <w:ilvl w:val="0"/>
          <w:numId w:val="23"/>
        </w:num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因乙方实施本项目过程中侵犯第三人合法权益或者违约导致甲方承担赔偿责任的，甲方有权向乙方追偿并有权解除合同、要求乙方返还已经支付的款项并支付合同总额20%的违约金。</w:t>
      </w:r>
    </w:p>
    <w:p>
      <w:pPr>
        <w:numPr>
          <w:ilvl w:val="0"/>
          <w:numId w:val="23"/>
        </w:numPr>
        <w:spacing w:line="360" w:lineRule="auto"/>
        <w:ind w:firstLine="480" w:firstLineChars="200"/>
        <w:rPr>
          <w:rFonts w:ascii="仿宋" w:hAnsi="仿宋" w:eastAsia="仿宋" w:cs="仿宋"/>
          <w:bCs/>
          <w:sz w:val="24"/>
        </w:rPr>
      </w:pPr>
      <w:r>
        <w:rPr>
          <w:rFonts w:hint="eastAsia" w:ascii="仿宋" w:hAnsi="仿宋" w:eastAsia="仿宋" w:cs="仿宋"/>
          <w:bCs/>
          <w:sz w:val="24"/>
        </w:rPr>
        <w:t>乙方无正当理由解除合同的，应向甲方支付合同总额20%的违约金。</w:t>
      </w:r>
    </w:p>
    <w:p>
      <w:pPr>
        <w:numPr>
          <w:ilvl w:val="0"/>
          <w:numId w:val="23"/>
        </w:numPr>
        <w:spacing w:line="360" w:lineRule="auto"/>
        <w:ind w:firstLine="480" w:firstLineChars="200"/>
        <w:rPr>
          <w:rFonts w:ascii="仿宋" w:hAnsi="仿宋" w:eastAsia="仿宋" w:cs="仿宋"/>
          <w:bCs/>
          <w:sz w:val="24"/>
        </w:rPr>
      </w:pPr>
      <w:r>
        <w:rPr>
          <w:rFonts w:hint="eastAsia" w:ascii="仿宋" w:hAnsi="仿宋" w:eastAsia="仿宋" w:cs="仿宋"/>
          <w:bCs/>
          <w:sz w:val="24"/>
        </w:rPr>
        <w:t>甲方违约的，应按照《中华人民共和国民法典》有关规定承担违约责任。</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争议解决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双方因履行本合同发生争议的，可协商解决，无法协商解决的：</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□应向深圳仲裁委提请仲裁，仲裁适用仲裁时生效的规则，仲裁地为深圳。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□应向华南国际经济贸易仲裁委员会（深圳国际仲裁院）提请仲裁，仲裁适用仲裁时生效的规则，仲裁地为深圳。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□应向甲方住所地有管辖权的人民法院提起诉讼。</w:t>
      </w:r>
    </w:p>
    <w:p>
      <w:pPr>
        <w:numPr>
          <w:ilvl w:val="0"/>
          <w:numId w:val="13"/>
        </w:numPr>
        <w:spacing w:line="360" w:lineRule="auto"/>
        <w:ind w:hanging="318"/>
        <w:jc w:val="left"/>
        <w:rPr>
          <w:rFonts w:ascii="黑体" w:hAnsi="黑体" w:eastAsia="黑体" w:cs="黑体"/>
          <w:bCs/>
          <w:sz w:val="24"/>
        </w:rPr>
      </w:pPr>
      <w:r>
        <w:rPr>
          <w:rFonts w:hint="eastAsia" w:ascii="黑体" w:hAnsi="黑体" w:eastAsia="黑体" w:cs="黑体"/>
          <w:bCs/>
          <w:sz w:val="24"/>
        </w:rPr>
        <w:t>附则</w:t>
      </w:r>
    </w:p>
    <w:p>
      <w:pPr>
        <w:numPr>
          <w:ilvl w:val="0"/>
          <w:numId w:val="24"/>
        </w:num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本合同□无附件/□有附件，附件包括</w:t>
      </w:r>
      <w:r>
        <w:rPr>
          <w:rFonts w:hint="eastAsia" w:ascii="仿宋" w:hAnsi="仿宋" w:eastAsia="仿宋" w:cs="仿宋"/>
          <w:sz w:val="24"/>
          <w:u w:val="single"/>
        </w:rPr>
        <w:t xml:space="preserve">                                                                         </w:t>
      </w:r>
    </w:p>
    <w:p>
      <w:pPr>
        <w:numPr>
          <w:ilvl w:val="0"/>
          <w:numId w:val="24"/>
        </w:numPr>
        <w:spacing w:line="360" w:lineRule="auto"/>
        <w:ind w:firstLine="480" w:firstLineChars="200"/>
        <w:jc w:val="left"/>
        <w:rPr>
          <w:rFonts w:ascii="仿宋" w:hAnsi="仿宋" w:eastAsia="仿宋" w:cs="仿宋"/>
          <w:sz w:val="24"/>
        </w:rPr>
      </w:pPr>
      <w:r>
        <w:rPr>
          <w:rFonts w:hint="eastAsia" w:ascii="仿宋" w:hAnsi="仿宋" w:eastAsia="仿宋" w:cs="仿宋"/>
          <w:sz w:val="24"/>
        </w:rPr>
        <w:t>对本合同的变更必须通过书面形式进行。</w:t>
      </w:r>
    </w:p>
    <w:p>
      <w:pPr>
        <w:numPr>
          <w:ilvl w:val="0"/>
          <w:numId w:val="24"/>
        </w:numPr>
        <w:spacing w:line="360" w:lineRule="auto"/>
        <w:ind w:firstLine="480" w:firstLineChars="200"/>
        <w:jc w:val="left"/>
        <w:rPr>
          <w:rFonts w:ascii="仿宋" w:hAnsi="仿宋" w:eastAsia="仿宋" w:cs="仿宋"/>
          <w:sz w:val="24"/>
        </w:rPr>
      </w:pPr>
      <w:r>
        <w:rPr>
          <w:rFonts w:hint="eastAsia" w:ascii="仿宋" w:hAnsi="仿宋" w:eastAsia="仿宋" w:cs="仿宋"/>
          <w:sz w:val="24"/>
        </w:rPr>
        <w:t>本合同自双方授权代表签字并盖章后生效。</w:t>
      </w:r>
    </w:p>
    <w:p>
      <w:pPr>
        <w:numPr>
          <w:ilvl w:val="0"/>
          <w:numId w:val="24"/>
        </w:numPr>
        <w:spacing w:line="360" w:lineRule="auto"/>
        <w:ind w:firstLine="480" w:firstLineChars="200"/>
        <w:jc w:val="left"/>
        <w:rPr>
          <w:rFonts w:ascii="仿宋" w:hAnsi="仿宋" w:eastAsia="仿宋" w:cs="仿宋"/>
          <w:sz w:val="24"/>
        </w:rPr>
      </w:pPr>
      <w:r>
        <w:rPr>
          <w:rFonts w:hint="eastAsia" w:ascii="仿宋" w:hAnsi="仿宋" w:eastAsia="仿宋" w:cs="仿宋"/>
          <w:sz w:val="24"/>
        </w:rPr>
        <w:t>本合同一式</w:t>
      </w:r>
      <w:r>
        <w:rPr>
          <w:rFonts w:hint="eastAsia" w:ascii="仿宋" w:hAnsi="仿宋" w:eastAsia="仿宋" w:cs="仿宋"/>
          <w:sz w:val="24"/>
          <w:u w:val="single"/>
        </w:rPr>
        <w:t xml:space="preserve">   </w:t>
      </w:r>
      <w:r>
        <w:rPr>
          <w:rFonts w:hint="eastAsia" w:ascii="仿宋" w:hAnsi="仿宋" w:eastAsia="仿宋" w:cs="仿宋"/>
          <w:sz w:val="24"/>
        </w:rPr>
        <w:t>份，甲方执</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w:t>
      </w:r>
      <w:r>
        <w:rPr>
          <w:rFonts w:hint="eastAsia" w:ascii="仿宋" w:hAnsi="仿宋" w:eastAsia="仿宋" w:cs="仿宋"/>
          <w:sz w:val="24"/>
        </w:rPr>
        <w:t>份，具有同等法律效力。</w:t>
      </w:r>
    </w:p>
    <w:p>
      <w:pPr>
        <w:spacing w:line="360" w:lineRule="auto"/>
        <w:jc w:val="left"/>
        <w:rPr>
          <w:rFonts w:ascii="仿宋" w:hAnsi="仿宋" w:eastAsia="仿宋" w:cs="仿宋"/>
          <w:sz w:val="24"/>
        </w:rPr>
      </w:pP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 xml:space="preserve">甲方（盖章）：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p>
    <w:p>
      <w:pPr>
        <w:spacing w:line="360" w:lineRule="auto"/>
        <w:ind w:firstLine="1200" w:firstLineChars="500"/>
        <w:jc w:val="left"/>
        <w:rPr>
          <w:rFonts w:ascii="仿宋" w:hAnsi="仿宋" w:eastAsia="仿宋" w:cs="仿宋"/>
          <w:sz w:val="24"/>
        </w:rPr>
      </w:pPr>
      <w:r>
        <w:rPr>
          <w:rFonts w:hint="eastAsia" w:ascii="仿宋" w:hAnsi="仿宋" w:eastAsia="仿宋" w:cs="仿宋"/>
          <w:sz w:val="24"/>
        </w:rPr>
        <w:t>年    月    日</w:t>
      </w:r>
    </w:p>
    <w:p>
      <w:pPr>
        <w:spacing w:line="360" w:lineRule="auto"/>
        <w:ind w:firstLine="480" w:firstLineChars="200"/>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乙方（盖章）：</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项目负责人：</w:t>
      </w:r>
    </w:p>
    <w:p>
      <w:pPr>
        <w:spacing w:line="360" w:lineRule="auto"/>
        <w:ind w:firstLine="1200" w:firstLineChars="500"/>
        <w:jc w:val="left"/>
        <w:rPr>
          <w:rFonts w:ascii="仿宋" w:hAnsi="仿宋" w:eastAsia="仿宋" w:cs="仿宋"/>
          <w:sz w:val="24"/>
        </w:rPr>
      </w:pPr>
      <w:r>
        <w:rPr>
          <w:rFonts w:hint="eastAsia" w:ascii="仿宋" w:hAnsi="仿宋" w:eastAsia="仿宋" w:cs="仿宋"/>
          <w:sz w:val="24"/>
        </w:rPr>
        <w:t>年   月  日</w:t>
      </w:r>
    </w:p>
    <w:p>
      <w:pPr>
        <w:spacing w:line="360" w:lineRule="auto"/>
        <w:ind w:firstLine="480" w:firstLineChars="200"/>
        <w:jc w:val="left"/>
        <w:rPr>
          <w:rFonts w:ascii="宋体" w:hAnsi="宋体" w:eastAsia="宋体" w:cs="宋体"/>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6F64F4D-3EDB-4D8A-B5A7-66A5781DBF79}"/>
  </w:font>
  <w:font w:name="黑体">
    <w:panose1 w:val="02010609060101010101"/>
    <w:charset w:val="86"/>
    <w:family w:val="auto"/>
    <w:pitch w:val="default"/>
    <w:sig w:usb0="800002BF" w:usb1="38CF7CFA" w:usb2="00000016" w:usb3="00000000" w:csb0="00040001" w:csb1="00000000"/>
    <w:embedRegular r:id="rId2" w:fontKey="{78CFE20D-5F93-455F-8C2D-1C5470B325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CCD4338C-0607-4836-91C8-CC956AD5DF9A}"/>
  </w:font>
  <w:font w:name="仿宋">
    <w:panose1 w:val="02010609060101010101"/>
    <w:charset w:val="86"/>
    <w:family w:val="modern"/>
    <w:pitch w:val="default"/>
    <w:sig w:usb0="800002BF" w:usb1="38CF7CFA" w:usb2="00000016" w:usb3="00000000" w:csb0="00040001" w:csb1="00000000"/>
    <w:embedRegular r:id="rId4" w:fontKey="{4492A847-C1A4-424A-897F-DDB451DC8BA9}"/>
  </w:font>
  <w:font w:name="Wingdings 2">
    <w:panose1 w:val="05020102010507070707"/>
    <w:charset w:val="00"/>
    <w:family w:val="decorative"/>
    <w:pitch w:val="default"/>
    <w:sig w:usb0="00000000" w:usb1="00000000" w:usb2="00000000" w:usb3="00000000" w:csb0="80000000" w:csb1="00000000"/>
    <w:embedRegular r:id="rId5" w:fontKey="{C5B76387-7666-43A3-A06F-F47DF2F012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5130"/>
      <w:rPr>
        <w:rFonts w:ascii="宋体" w:hAnsi="宋体" w:eastAsia="宋体" w:cs="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EF23B"/>
    <w:multiLevelType w:val="singleLevel"/>
    <w:tmpl w:val="852EF23B"/>
    <w:lvl w:ilvl="0" w:tentative="0">
      <w:start w:val="1"/>
      <w:numFmt w:val="decimal"/>
      <w:suff w:val="nothing"/>
      <w:lvlText w:val="%1．"/>
      <w:lvlJc w:val="left"/>
      <w:pPr>
        <w:ind w:left="0" w:firstLine="400"/>
      </w:pPr>
      <w:rPr>
        <w:rFonts w:hint="default"/>
      </w:rPr>
    </w:lvl>
  </w:abstractNum>
  <w:abstractNum w:abstractNumId="1">
    <w:nsid w:val="884474AD"/>
    <w:multiLevelType w:val="singleLevel"/>
    <w:tmpl w:val="884474AD"/>
    <w:lvl w:ilvl="0" w:tentative="0">
      <w:start w:val="1"/>
      <w:numFmt w:val="decimal"/>
      <w:suff w:val="nothing"/>
      <w:lvlText w:val="%1．"/>
      <w:lvlJc w:val="left"/>
      <w:pPr>
        <w:ind w:left="0" w:firstLine="400"/>
      </w:pPr>
      <w:rPr>
        <w:rFonts w:hint="default"/>
      </w:rPr>
    </w:lvl>
  </w:abstractNum>
  <w:abstractNum w:abstractNumId="2">
    <w:nsid w:val="A0F63A98"/>
    <w:multiLevelType w:val="singleLevel"/>
    <w:tmpl w:val="A0F63A98"/>
    <w:lvl w:ilvl="0" w:tentative="0">
      <w:start w:val="1"/>
      <w:numFmt w:val="decimal"/>
      <w:lvlText w:val="%1."/>
      <w:lvlJc w:val="left"/>
      <w:pPr>
        <w:ind w:left="425" w:hanging="425"/>
      </w:pPr>
      <w:rPr>
        <w:rFonts w:hint="default"/>
      </w:rPr>
    </w:lvl>
  </w:abstractNum>
  <w:abstractNum w:abstractNumId="3">
    <w:nsid w:val="A9379342"/>
    <w:multiLevelType w:val="singleLevel"/>
    <w:tmpl w:val="A9379342"/>
    <w:lvl w:ilvl="0" w:tentative="0">
      <w:start w:val="1"/>
      <w:numFmt w:val="decimal"/>
      <w:suff w:val="nothing"/>
      <w:lvlText w:val="%1．"/>
      <w:lvlJc w:val="left"/>
      <w:pPr>
        <w:ind w:left="0" w:firstLine="400"/>
      </w:pPr>
      <w:rPr>
        <w:rFonts w:hint="default"/>
      </w:rPr>
    </w:lvl>
  </w:abstractNum>
  <w:abstractNum w:abstractNumId="4">
    <w:nsid w:val="AEA78D79"/>
    <w:multiLevelType w:val="singleLevel"/>
    <w:tmpl w:val="AEA78D79"/>
    <w:lvl w:ilvl="0" w:tentative="0">
      <w:start w:val="1"/>
      <w:numFmt w:val="decimal"/>
      <w:suff w:val="nothing"/>
      <w:lvlText w:val="%1．"/>
      <w:lvlJc w:val="left"/>
      <w:pPr>
        <w:ind w:left="0" w:firstLine="400"/>
      </w:pPr>
      <w:rPr>
        <w:rFonts w:hint="default"/>
      </w:rPr>
    </w:lvl>
  </w:abstractNum>
  <w:abstractNum w:abstractNumId="5">
    <w:nsid w:val="AF5962A7"/>
    <w:multiLevelType w:val="singleLevel"/>
    <w:tmpl w:val="AF5962A7"/>
    <w:lvl w:ilvl="0" w:tentative="0">
      <w:start w:val="1"/>
      <w:numFmt w:val="decimal"/>
      <w:suff w:val="nothing"/>
      <w:lvlText w:val="%1．"/>
      <w:lvlJc w:val="left"/>
      <w:pPr>
        <w:ind w:left="0" w:firstLine="400"/>
      </w:pPr>
      <w:rPr>
        <w:rFonts w:hint="default"/>
      </w:rPr>
    </w:lvl>
  </w:abstractNum>
  <w:abstractNum w:abstractNumId="6">
    <w:nsid w:val="BF10D33D"/>
    <w:multiLevelType w:val="singleLevel"/>
    <w:tmpl w:val="BF10D33D"/>
    <w:lvl w:ilvl="0" w:tentative="0">
      <w:start w:val="2"/>
      <w:numFmt w:val="chineseCounting"/>
      <w:suff w:val="nothing"/>
      <w:lvlText w:val="（%1）"/>
      <w:lvlJc w:val="left"/>
      <w:rPr>
        <w:rFonts w:hint="eastAsia"/>
      </w:rPr>
    </w:lvl>
  </w:abstractNum>
  <w:abstractNum w:abstractNumId="7">
    <w:nsid w:val="CC78B13A"/>
    <w:multiLevelType w:val="singleLevel"/>
    <w:tmpl w:val="CC78B13A"/>
    <w:lvl w:ilvl="0" w:tentative="0">
      <w:start w:val="1"/>
      <w:numFmt w:val="decimal"/>
      <w:lvlText w:val="%1."/>
      <w:lvlJc w:val="left"/>
      <w:pPr>
        <w:ind w:left="425" w:hanging="425"/>
      </w:pPr>
      <w:rPr>
        <w:rFonts w:hint="default"/>
      </w:rPr>
    </w:lvl>
  </w:abstractNum>
  <w:abstractNum w:abstractNumId="8">
    <w:nsid w:val="CFBA6071"/>
    <w:multiLevelType w:val="singleLevel"/>
    <w:tmpl w:val="CFBA6071"/>
    <w:lvl w:ilvl="0" w:tentative="0">
      <w:start w:val="1"/>
      <w:numFmt w:val="decimal"/>
      <w:lvlText w:val="%1."/>
      <w:lvlJc w:val="left"/>
      <w:pPr>
        <w:ind w:left="425" w:hanging="425"/>
      </w:pPr>
      <w:rPr>
        <w:rFonts w:hint="default"/>
      </w:rPr>
    </w:lvl>
  </w:abstractNum>
  <w:abstractNum w:abstractNumId="9">
    <w:nsid w:val="D75FC471"/>
    <w:multiLevelType w:val="singleLevel"/>
    <w:tmpl w:val="D75FC471"/>
    <w:lvl w:ilvl="0" w:tentative="0">
      <w:start w:val="1"/>
      <w:numFmt w:val="decimal"/>
      <w:lvlText w:val="%1."/>
      <w:lvlJc w:val="left"/>
      <w:pPr>
        <w:ind w:left="425" w:hanging="425"/>
      </w:pPr>
      <w:rPr>
        <w:rFonts w:hint="default"/>
      </w:rPr>
    </w:lvl>
  </w:abstractNum>
  <w:abstractNum w:abstractNumId="10">
    <w:nsid w:val="E9955A5D"/>
    <w:multiLevelType w:val="singleLevel"/>
    <w:tmpl w:val="E9955A5D"/>
    <w:lvl w:ilvl="0" w:tentative="0">
      <w:start w:val="1"/>
      <w:numFmt w:val="decimal"/>
      <w:lvlText w:val="%1."/>
      <w:lvlJc w:val="left"/>
      <w:pPr>
        <w:ind w:left="425" w:hanging="425"/>
      </w:pPr>
      <w:rPr>
        <w:rFonts w:hint="default"/>
      </w:rPr>
    </w:lvl>
  </w:abstractNum>
  <w:abstractNum w:abstractNumId="11">
    <w:nsid w:val="FD2CBA8D"/>
    <w:multiLevelType w:val="singleLevel"/>
    <w:tmpl w:val="FD2CBA8D"/>
    <w:lvl w:ilvl="0" w:tentative="0">
      <w:start w:val="1"/>
      <w:numFmt w:val="decimal"/>
      <w:lvlText w:val="%1."/>
      <w:lvlJc w:val="left"/>
      <w:pPr>
        <w:ind w:left="425" w:hanging="425"/>
      </w:pPr>
      <w:rPr>
        <w:rFonts w:hint="default"/>
      </w:rPr>
    </w:lvl>
  </w:abstractNum>
  <w:abstractNum w:abstractNumId="12">
    <w:nsid w:val="0F24BA13"/>
    <w:multiLevelType w:val="singleLevel"/>
    <w:tmpl w:val="0F24BA13"/>
    <w:lvl w:ilvl="0" w:tentative="0">
      <w:start w:val="1"/>
      <w:numFmt w:val="decimal"/>
      <w:lvlText w:val="%1."/>
      <w:lvlJc w:val="left"/>
      <w:pPr>
        <w:ind w:left="425" w:hanging="425"/>
      </w:pPr>
      <w:rPr>
        <w:rFonts w:hint="default"/>
      </w:rPr>
    </w:lvl>
  </w:abstractNum>
  <w:abstractNum w:abstractNumId="13">
    <w:nsid w:val="12EE36B7"/>
    <w:multiLevelType w:val="singleLevel"/>
    <w:tmpl w:val="12EE36B7"/>
    <w:lvl w:ilvl="0" w:tentative="0">
      <w:start w:val="1"/>
      <w:numFmt w:val="decimal"/>
      <w:suff w:val="nothing"/>
      <w:lvlText w:val="%1．"/>
      <w:lvlJc w:val="left"/>
      <w:pPr>
        <w:ind w:left="0" w:firstLine="400"/>
      </w:pPr>
      <w:rPr>
        <w:rFonts w:hint="default"/>
      </w:rPr>
    </w:lvl>
  </w:abstractNum>
  <w:abstractNum w:abstractNumId="14">
    <w:nsid w:val="1DCF90A7"/>
    <w:multiLevelType w:val="singleLevel"/>
    <w:tmpl w:val="1DCF90A7"/>
    <w:lvl w:ilvl="0" w:tentative="0">
      <w:start w:val="1"/>
      <w:numFmt w:val="decimal"/>
      <w:lvlText w:val="%1."/>
      <w:lvlJc w:val="left"/>
      <w:pPr>
        <w:ind w:left="425" w:hanging="425"/>
      </w:pPr>
      <w:rPr>
        <w:rFonts w:hint="default"/>
      </w:rPr>
    </w:lvl>
  </w:abstractNum>
  <w:abstractNum w:abstractNumId="15">
    <w:nsid w:val="216F1CBA"/>
    <w:multiLevelType w:val="singleLevel"/>
    <w:tmpl w:val="216F1CBA"/>
    <w:lvl w:ilvl="0" w:tentative="0">
      <w:start w:val="3"/>
      <w:numFmt w:val="decimal"/>
      <w:lvlText w:val="%1."/>
      <w:lvlJc w:val="left"/>
      <w:pPr>
        <w:tabs>
          <w:tab w:val="left" w:pos="312"/>
        </w:tabs>
      </w:pPr>
    </w:lvl>
  </w:abstractNum>
  <w:abstractNum w:abstractNumId="16">
    <w:nsid w:val="3960BFA5"/>
    <w:multiLevelType w:val="singleLevel"/>
    <w:tmpl w:val="3960BFA5"/>
    <w:lvl w:ilvl="0" w:tentative="0">
      <w:start w:val="1"/>
      <w:numFmt w:val="decimal"/>
      <w:lvlText w:val="%1."/>
      <w:lvlJc w:val="left"/>
      <w:pPr>
        <w:ind w:left="425" w:hanging="425"/>
      </w:pPr>
      <w:rPr>
        <w:rFonts w:hint="default"/>
      </w:rPr>
    </w:lvl>
  </w:abstractNum>
  <w:abstractNum w:abstractNumId="17">
    <w:nsid w:val="3A1D0286"/>
    <w:multiLevelType w:val="singleLevel"/>
    <w:tmpl w:val="3A1D0286"/>
    <w:lvl w:ilvl="0" w:tentative="0">
      <w:start w:val="1"/>
      <w:numFmt w:val="decimal"/>
      <w:suff w:val="nothing"/>
      <w:lvlText w:val="%1．"/>
      <w:lvlJc w:val="left"/>
      <w:pPr>
        <w:ind w:left="0" w:firstLine="400"/>
      </w:pPr>
      <w:rPr>
        <w:rFonts w:hint="default"/>
      </w:rPr>
    </w:lvl>
  </w:abstractNum>
  <w:abstractNum w:abstractNumId="18">
    <w:nsid w:val="3FBCC914"/>
    <w:multiLevelType w:val="singleLevel"/>
    <w:tmpl w:val="3FBCC914"/>
    <w:lvl w:ilvl="0" w:tentative="0">
      <w:start w:val="1"/>
      <w:numFmt w:val="decimal"/>
      <w:suff w:val="nothing"/>
      <w:lvlText w:val="%1．"/>
      <w:lvlJc w:val="left"/>
      <w:pPr>
        <w:ind w:left="0" w:firstLine="400"/>
      </w:pPr>
      <w:rPr>
        <w:rFonts w:hint="default"/>
      </w:rPr>
    </w:lvl>
  </w:abstractNum>
  <w:abstractNum w:abstractNumId="19">
    <w:nsid w:val="41DB9B0A"/>
    <w:multiLevelType w:val="singleLevel"/>
    <w:tmpl w:val="41DB9B0A"/>
    <w:lvl w:ilvl="0" w:tentative="0">
      <w:start w:val="1"/>
      <w:numFmt w:val="decimal"/>
      <w:suff w:val="nothing"/>
      <w:lvlText w:val="%1．"/>
      <w:lvlJc w:val="left"/>
      <w:pPr>
        <w:ind w:left="0" w:firstLine="400"/>
      </w:pPr>
      <w:rPr>
        <w:rFonts w:hint="default"/>
      </w:rPr>
    </w:lvl>
  </w:abstractNum>
  <w:abstractNum w:abstractNumId="20">
    <w:nsid w:val="4849D321"/>
    <w:multiLevelType w:val="singleLevel"/>
    <w:tmpl w:val="4849D321"/>
    <w:lvl w:ilvl="0" w:tentative="0">
      <w:start w:val="1"/>
      <w:numFmt w:val="decimal"/>
      <w:lvlText w:val="%1."/>
      <w:lvlJc w:val="left"/>
      <w:pPr>
        <w:ind w:left="425" w:hanging="425"/>
      </w:pPr>
      <w:rPr>
        <w:rFonts w:hint="default"/>
      </w:rPr>
    </w:lvl>
  </w:abstractNum>
  <w:abstractNum w:abstractNumId="21">
    <w:nsid w:val="4B1927DF"/>
    <w:multiLevelType w:val="singleLevel"/>
    <w:tmpl w:val="4B1927DF"/>
    <w:lvl w:ilvl="0" w:tentative="0">
      <w:start w:val="1"/>
      <w:numFmt w:val="decimal"/>
      <w:lvlText w:val="%1."/>
      <w:lvlJc w:val="left"/>
      <w:pPr>
        <w:ind w:left="425" w:hanging="425"/>
      </w:pPr>
      <w:rPr>
        <w:rFonts w:hint="default"/>
      </w:rPr>
    </w:lvl>
  </w:abstractNum>
  <w:abstractNum w:abstractNumId="22">
    <w:nsid w:val="5AB68EFD"/>
    <w:multiLevelType w:val="singleLevel"/>
    <w:tmpl w:val="5AB68EFD"/>
    <w:lvl w:ilvl="0" w:tentative="0">
      <w:start w:val="1"/>
      <w:numFmt w:val="decimal"/>
      <w:suff w:val="nothing"/>
      <w:lvlText w:val="%1．"/>
      <w:lvlJc w:val="left"/>
      <w:pPr>
        <w:ind w:left="0" w:firstLine="400"/>
      </w:pPr>
      <w:rPr>
        <w:rFonts w:hint="default"/>
      </w:rPr>
    </w:lvl>
  </w:abstractNum>
  <w:abstractNum w:abstractNumId="23">
    <w:nsid w:val="6A6A2D4A"/>
    <w:multiLevelType w:val="multilevel"/>
    <w:tmpl w:val="6A6A2D4A"/>
    <w:lvl w:ilvl="0" w:tentative="0">
      <w:start w:val="1"/>
      <w:numFmt w:val="japaneseCounting"/>
      <w:lvlText w:val="第%1条"/>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6"/>
  </w:num>
  <w:num w:numId="3">
    <w:abstractNumId w:val="6"/>
  </w:num>
  <w:num w:numId="4">
    <w:abstractNumId w:val="14"/>
  </w:num>
  <w:num w:numId="5">
    <w:abstractNumId w:val="2"/>
  </w:num>
  <w:num w:numId="6">
    <w:abstractNumId w:val="8"/>
  </w:num>
  <w:num w:numId="7">
    <w:abstractNumId w:val="11"/>
  </w:num>
  <w:num w:numId="8">
    <w:abstractNumId w:val="7"/>
  </w:num>
  <w:num w:numId="9">
    <w:abstractNumId w:val="20"/>
  </w:num>
  <w:num w:numId="10">
    <w:abstractNumId w:val="21"/>
  </w:num>
  <w:num w:numId="11">
    <w:abstractNumId w:val="10"/>
  </w:num>
  <w:num w:numId="12">
    <w:abstractNumId w:val="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19"/>
  </w:num>
  <w:num w:numId="17">
    <w:abstractNumId w:val="5"/>
  </w:num>
  <w:num w:numId="18">
    <w:abstractNumId w:val="15"/>
  </w:num>
  <w:num w:numId="19">
    <w:abstractNumId w:val="4"/>
  </w:num>
  <w:num w:numId="20">
    <w:abstractNumId w:val="0"/>
  </w:num>
  <w:num w:numId="21">
    <w:abstractNumId w:val="18"/>
  </w:num>
  <w:num w:numId="22">
    <w:abstractNumId w:val="13"/>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xODMxYWQxODRjMzQyNDYzNDRjMWZjMjdjZjcyNDEifQ=="/>
  </w:docVars>
  <w:rsids>
    <w:rsidRoot w:val="5EF6340A"/>
    <w:rsid w:val="00061A56"/>
    <w:rsid w:val="0007455A"/>
    <w:rsid w:val="00087470"/>
    <w:rsid w:val="000D11CF"/>
    <w:rsid w:val="000E4F12"/>
    <w:rsid w:val="001130D1"/>
    <w:rsid w:val="00143D5B"/>
    <w:rsid w:val="00144CB3"/>
    <w:rsid w:val="0015019A"/>
    <w:rsid w:val="00246908"/>
    <w:rsid w:val="002C57A9"/>
    <w:rsid w:val="003F238F"/>
    <w:rsid w:val="00523AE6"/>
    <w:rsid w:val="005C4A82"/>
    <w:rsid w:val="006041DD"/>
    <w:rsid w:val="006A5441"/>
    <w:rsid w:val="006D1AA3"/>
    <w:rsid w:val="006F2A77"/>
    <w:rsid w:val="00765900"/>
    <w:rsid w:val="007B16BB"/>
    <w:rsid w:val="007F3E76"/>
    <w:rsid w:val="008B6390"/>
    <w:rsid w:val="00AA7566"/>
    <w:rsid w:val="00AF2A91"/>
    <w:rsid w:val="00B32C83"/>
    <w:rsid w:val="00B62612"/>
    <w:rsid w:val="00B95424"/>
    <w:rsid w:val="00CA63E8"/>
    <w:rsid w:val="00CD7277"/>
    <w:rsid w:val="00CF3375"/>
    <w:rsid w:val="00DF2B24"/>
    <w:rsid w:val="017E2A82"/>
    <w:rsid w:val="0192652E"/>
    <w:rsid w:val="020D6BCE"/>
    <w:rsid w:val="022A0FC4"/>
    <w:rsid w:val="0384190B"/>
    <w:rsid w:val="038C4AE9"/>
    <w:rsid w:val="039968F4"/>
    <w:rsid w:val="044B7594"/>
    <w:rsid w:val="04BF61E0"/>
    <w:rsid w:val="05482261"/>
    <w:rsid w:val="07224A50"/>
    <w:rsid w:val="0748600C"/>
    <w:rsid w:val="077A312A"/>
    <w:rsid w:val="08850B4E"/>
    <w:rsid w:val="0AF305A4"/>
    <w:rsid w:val="0B4F1104"/>
    <w:rsid w:val="0B9361CC"/>
    <w:rsid w:val="0C752FB1"/>
    <w:rsid w:val="0C786AA5"/>
    <w:rsid w:val="0CAF7E46"/>
    <w:rsid w:val="0F8026E5"/>
    <w:rsid w:val="0F840B6E"/>
    <w:rsid w:val="0FCE72CB"/>
    <w:rsid w:val="10831E63"/>
    <w:rsid w:val="10DE0EE2"/>
    <w:rsid w:val="11812847"/>
    <w:rsid w:val="11854733"/>
    <w:rsid w:val="119011A6"/>
    <w:rsid w:val="13200E76"/>
    <w:rsid w:val="134E49AB"/>
    <w:rsid w:val="14DD5C44"/>
    <w:rsid w:val="157955E3"/>
    <w:rsid w:val="18033B13"/>
    <w:rsid w:val="18E35C61"/>
    <w:rsid w:val="19305FBC"/>
    <w:rsid w:val="1ACC4407"/>
    <w:rsid w:val="1B7560A4"/>
    <w:rsid w:val="21116D83"/>
    <w:rsid w:val="21A34113"/>
    <w:rsid w:val="21E362B0"/>
    <w:rsid w:val="225C0C30"/>
    <w:rsid w:val="22FB2D4B"/>
    <w:rsid w:val="232748D0"/>
    <w:rsid w:val="246D27B7"/>
    <w:rsid w:val="25507470"/>
    <w:rsid w:val="26BE19EF"/>
    <w:rsid w:val="27445B99"/>
    <w:rsid w:val="27F145DE"/>
    <w:rsid w:val="29053906"/>
    <w:rsid w:val="29991610"/>
    <w:rsid w:val="2B58543C"/>
    <w:rsid w:val="2B7638CD"/>
    <w:rsid w:val="2B852ADC"/>
    <w:rsid w:val="2C8D12F1"/>
    <w:rsid w:val="2F236894"/>
    <w:rsid w:val="31546CC4"/>
    <w:rsid w:val="32303786"/>
    <w:rsid w:val="32466525"/>
    <w:rsid w:val="32DF78C4"/>
    <w:rsid w:val="32E7670F"/>
    <w:rsid w:val="32F80037"/>
    <w:rsid w:val="3411756B"/>
    <w:rsid w:val="34B63D06"/>
    <w:rsid w:val="34CA69CE"/>
    <w:rsid w:val="353E374D"/>
    <w:rsid w:val="375D66BB"/>
    <w:rsid w:val="384C0455"/>
    <w:rsid w:val="390B7D49"/>
    <w:rsid w:val="3A4B228D"/>
    <w:rsid w:val="3A810DA5"/>
    <w:rsid w:val="3B7D37CF"/>
    <w:rsid w:val="3BA902AA"/>
    <w:rsid w:val="3D10410A"/>
    <w:rsid w:val="3DB636E1"/>
    <w:rsid w:val="3DCE20C0"/>
    <w:rsid w:val="40E57E4D"/>
    <w:rsid w:val="42B775C7"/>
    <w:rsid w:val="42CC2AB3"/>
    <w:rsid w:val="45232CF2"/>
    <w:rsid w:val="465105F0"/>
    <w:rsid w:val="46A86DA8"/>
    <w:rsid w:val="471E7797"/>
    <w:rsid w:val="487877F8"/>
    <w:rsid w:val="48AE40C6"/>
    <w:rsid w:val="48F354FB"/>
    <w:rsid w:val="49964C07"/>
    <w:rsid w:val="49FF3AE4"/>
    <w:rsid w:val="4B2376FD"/>
    <w:rsid w:val="4BE34F89"/>
    <w:rsid w:val="4CDD5E7C"/>
    <w:rsid w:val="4D6434C5"/>
    <w:rsid w:val="4DC8028C"/>
    <w:rsid w:val="4DCB500F"/>
    <w:rsid w:val="4E710F72"/>
    <w:rsid w:val="4FFF435B"/>
    <w:rsid w:val="50412E5C"/>
    <w:rsid w:val="519F4922"/>
    <w:rsid w:val="52E730B6"/>
    <w:rsid w:val="557A17BE"/>
    <w:rsid w:val="55EA33B8"/>
    <w:rsid w:val="560526E3"/>
    <w:rsid w:val="56530F5D"/>
    <w:rsid w:val="567D4DE2"/>
    <w:rsid w:val="573457EB"/>
    <w:rsid w:val="575E405D"/>
    <w:rsid w:val="578F5E7F"/>
    <w:rsid w:val="59C97EB4"/>
    <w:rsid w:val="5A074538"/>
    <w:rsid w:val="5A447CEA"/>
    <w:rsid w:val="5A8262B5"/>
    <w:rsid w:val="5AFB7D2F"/>
    <w:rsid w:val="5B8C73EB"/>
    <w:rsid w:val="5D611BB2"/>
    <w:rsid w:val="5DC32E6C"/>
    <w:rsid w:val="5EA83B0B"/>
    <w:rsid w:val="5EF6340A"/>
    <w:rsid w:val="602742D1"/>
    <w:rsid w:val="606F781A"/>
    <w:rsid w:val="60D84E80"/>
    <w:rsid w:val="631A1780"/>
    <w:rsid w:val="63315BAD"/>
    <w:rsid w:val="6348406B"/>
    <w:rsid w:val="65363817"/>
    <w:rsid w:val="6588095B"/>
    <w:rsid w:val="6643137C"/>
    <w:rsid w:val="671F3C86"/>
    <w:rsid w:val="68EF4E42"/>
    <w:rsid w:val="68FC1BD8"/>
    <w:rsid w:val="69A027AA"/>
    <w:rsid w:val="6A3A2708"/>
    <w:rsid w:val="6B052193"/>
    <w:rsid w:val="6F1329A4"/>
    <w:rsid w:val="700F0344"/>
    <w:rsid w:val="70F058CE"/>
    <w:rsid w:val="71F80EDE"/>
    <w:rsid w:val="728068DE"/>
    <w:rsid w:val="742D23B7"/>
    <w:rsid w:val="744228E5"/>
    <w:rsid w:val="74CE1CB0"/>
    <w:rsid w:val="75596138"/>
    <w:rsid w:val="75864E87"/>
    <w:rsid w:val="79BD3192"/>
    <w:rsid w:val="79EE7B06"/>
    <w:rsid w:val="7A296670"/>
    <w:rsid w:val="7A312ADE"/>
    <w:rsid w:val="7ABE407A"/>
    <w:rsid w:val="7B694BFB"/>
    <w:rsid w:val="7BFE68F0"/>
    <w:rsid w:val="7BFFC855"/>
    <w:rsid w:val="7CCE77E8"/>
    <w:rsid w:val="7EDC3936"/>
    <w:rsid w:val="7F19549A"/>
    <w:rsid w:val="ADEF4B45"/>
    <w:rsid w:val="FDEF2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qFormat/>
    <w:uiPriority w:val="0"/>
    <w:pPr>
      <w:keepNext/>
      <w:keepLines/>
      <w:spacing w:before="260" w:after="260" w:line="415" w:lineRule="auto"/>
      <w:outlineLvl w:val="1"/>
    </w:pPr>
    <w:rPr>
      <w:rFonts w:ascii="Cambria" w:hAnsi="Cambria" w:cs="宋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pPr>
      <w:jc w:val="left"/>
    </w:pPr>
  </w:style>
  <w:style w:type="paragraph" w:styleId="5">
    <w:name w:val="Body Text"/>
    <w:basedOn w:val="1"/>
    <w:next w:val="6"/>
    <w:qFormat/>
    <w:uiPriority w:val="0"/>
    <w:pPr>
      <w:spacing w:line="360" w:lineRule="auto"/>
    </w:pPr>
    <w:rPr>
      <w:b/>
      <w:bCs/>
      <w:sz w:val="24"/>
    </w:rPr>
  </w:style>
  <w:style w:type="paragraph" w:styleId="6">
    <w:name w:val="Title"/>
    <w:basedOn w:val="1"/>
    <w:next w:val="1"/>
    <w:qFormat/>
    <w:uiPriority w:val="0"/>
    <w:pPr>
      <w:spacing w:before="240" w:after="60"/>
      <w:jc w:val="center"/>
      <w:outlineLvl w:val="0"/>
    </w:pPr>
    <w:rPr>
      <w:rFonts w:ascii="Arial" w:hAnsi="Arial" w:eastAsia="隶书" w:cs="Arial"/>
      <w:b/>
      <w:bCs/>
      <w:sz w:val="32"/>
      <w:szCs w:val="32"/>
    </w:rPr>
  </w:style>
  <w:style w:type="paragraph" w:styleId="7">
    <w:name w:val="Balloon Text"/>
    <w:basedOn w:val="1"/>
    <w:link w:val="17"/>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annotation subject"/>
    <w:basedOn w:val="4"/>
    <w:next w:val="4"/>
    <w:link w:val="16"/>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9"/>
    <w:qFormat/>
    <w:uiPriority w:val="0"/>
    <w:rPr>
      <w:rFonts w:asciiTheme="minorHAnsi" w:hAnsiTheme="minorHAnsi" w:eastAsiaTheme="minorEastAsia" w:cstheme="minorBidi"/>
      <w:b/>
      <w:bCs/>
      <w:kern w:val="2"/>
      <w:sz w:val="21"/>
      <w:szCs w:val="24"/>
    </w:rPr>
  </w:style>
  <w:style w:type="character" w:customStyle="1" w:styleId="17">
    <w:name w:val="批注框文本 字符"/>
    <w:basedOn w:val="12"/>
    <w:link w:val="7"/>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813</Words>
  <Characters>4636</Characters>
  <Lines>38</Lines>
  <Paragraphs>10</Paragraphs>
  <TotalTime>28</TotalTime>
  <ScaleCrop>false</ScaleCrop>
  <LinksUpToDate>false</LinksUpToDate>
  <CharactersWithSpaces>5439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2022-09-14T04:48:00Z</dcterms:created>
  <dc:creator>清</dc:creator>
  <cp:lastModifiedBy>Administrator</cp:lastModifiedBy>
  <dcterms:modified xsi:type="dcterms:W3CDTF">2022-09-15T02:19:01Z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5D3BD74B57E647998B2F53ABB3B12F17</vt:lpwstr>
  </property>
</Properties>
</file>